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E1957" w14:textId="77777777" w:rsidR="004807A6" w:rsidRDefault="004807A6" w:rsidP="004807A6">
      <w:pPr>
        <w:widowControl/>
        <w:shd w:val="clear" w:color="auto" w:fill="FFFFFF"/>
        <w:spacing w:before="100" w:beforeAutospacing="1" w:after="100" w:afterAutospacing="1" w:line="360" w:lineRule="atLeast"/>
        <w:outlineLvl w:val="0"/>
        <w:rPr>
          <w:rFonts w:ascii="Arial" w:eastAsia="Times New Roman" w:hAnsi="Arial" w:cs="Arial"/>
          <w:b/>
          <w:bCs/>
          <w:color w:val="99ACBA"/>
          <w:kern w:val="36"/>
          <w:sz w:val="39"/>
          <w:szCs w:val="39"/>
        </w:rPr>
      </w:pPr>
      <w:bookmarkStart w:id="0" w:name="_GoBack"/>
      <w:bookmarkEnd w:id="0"/>
      <w:r>
        <w:rPr>
          <w:rFonts w:ascii="Arial" w:eastAsia="Times New Roman" w:hAnsi="Arial" w:cs="Arial"/>
          <w:b/>
          <w:bCs/>
          <w:color w:val="99ACBA"/>
          <w:kern w:val="36"/>
          <w:sz w:val="39"/>
          <w:szCs w:val="39"/>
        </w:rPr>
        <w:t>Theory of Change – In-depth Process and Example</w:t>
      </w:r>
    </w:p>
    <w:p w14:paraId="4D6ECDCF" w14:textId="77777777" w:rsidR="004807A6" w:rsidRPr="00187D99" w:rsidRDefault="004807A6" w:rsidP="004807A6">
      <w:pPr>
        <w:widowControl/>
        <w:shd w:val="clear" w:color="auto" w:fill="FFFFFF"/>
        <w:spacing w:before="100" w:beforeAutospacing="1" w:after="100" w:afterAutospacing="1" w:line="360" w:lineRule="atLeast"/>
        <w:outlineLvl w:val="0"/>
        <w:rPr>
          <w:rFonts w:ascii="Arial" w:eastAsia="Times New Roman" w:hAnsi="Arial" w:cs="Arial"/>
          <w:b/>
          <w:bCs/>
          <w:color w:val="99ACBA"/>
          <w:kern w:val="36"/>
          <w:sz w:val="39"/>
          <w:szCs w:val="39"/>
        </w:rPr>
      </w:pPr>
      <w:r w:rsidRPr="00187D99">
        <w:rPr>
          <w:rFonts w:ascii="Arial" w:eastAsia="Times New Roman" w:hAnsi="Arial" w:cs="Arial"/>
          <w:b/>
          <w:bCs/>
          <w:color w:val="99ACBA"/>
          <w:kern w:val="36"/>
          <w:sz w:val="39"/>
          <w:szCs w:val="39"/>
        </w:rPr>
        <w:t>Identifying Long-term Goals</w:t>
      </w:r>
      <w:r>
        <w:rPr>
          <w:rFonts w:ascii="Arial" w:eastAsia="Times New Roman" w:hAnsi="Arial" w:cs="Arial"/>
          <w:b/>
          <w:bCs/>
          <w:color w:val="99ACBA"/>
          <w:kern w:val="36"/>
          <w:sz w:val="39"/>
          <w:szCs w:val="39"/>
        </w:rPr>
        <w:t xml:space="preserve"> (Outcomes)</w:t>
      </w:r>
    </w:p>
    <w:p w14:paraId="2EDA68AC" w14:textId="77777777" w:rsidR="004807A6" w:rsidRPr="00187D99"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187D99">
        <w:rPr>
          <w:rFonts w:ascii="Arial" w:eastAsia="Times New Roman" w:hAnsi="Arial" w:cs="Arial"/>
          <w:color w:val="373737"/>
          <w:sz w:val="23"/>
          <w:szCs w:val="23"/>
        </w:rPr>
        <w:t>In the first stage of theory development, TOC participants discuss, agree on, and get specific about, the long-term goal or goals. This can be done in a variety of ways, (see our facilitator’s guide), but the important thing is to set a good, clear outcome. The quality of the rest of the theory hinges on doing this right!</w:t>
      </w:r>
      <w:r w:rsidRPr="00187D99">
        <w:rPr>
          <w:rFonts w:ascii="Arial" w:eastAsia="Times New Roman" w:hAnsi="Arial" w:cs="Arial"/>
          <w:color w:val="373737"/>
          <w:sz w:val="23"/>
          <w:szCs w:val="23"/>
        </w:rPr>
        <w:br/>
        <w:t>Then, TOC participants start to design a simple map of the preconditions required to bring about the long-term goal. Beginning the mapping process helps stakeholders to visualize and prioritize their goals as well as specify what they expect to change and for which outcomes they want to be held accountable.</w:t>
      </w:r>
    </w:p>
    <w:p w14:paraId="0BEE6C99" w14:textId="77777777" w:rsidR="004807A6" w:rsidRPr="00187D99"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187D99">
        <w:rPr>
          <w:rFonts w:ascii="Arial" w:eastAsia="Times New Roman" w:hAnsi="Arial" w:cs="Arial"/>
          <w:color w:val="373737"/>
          <w:sz w:val="23"/>
          <w:szCs w:val="23"/>
        </w:rPr>
        <w:t>Stage 1: Identifying Goals and Outcomes</w:t>
      </w:r>
      <w:r w:rsidRPr="00187D99">
        <w:rPr>
          <w:rFonts w:ascii="Arial" w:eastAsia="Times New Roman" w:hAnsi="Arial" w:cs="Arial"/>
          <w:color w:val="373737"/>
          <w:sz w:val="23"/>
          <w:szCs w:val="23"/>
        </w:rPr>
        <w:br/>
      </w:r>
      <w:r w:rsidRPr="00187D99">
        <w:rPr>
          <w:rFonts w:ascii="Arial" w:eastAsia="Times New Roman" w:hAnsi="Arial" w:cs="Arial"/>
          <w:noProof/>
          <w:color w:val="373737"/>
          <w:sz w:val="23"/>
          <w:szCs w:val="23"/>
        </w:rPr>
        <w:drawing>
          <wp:inline distT="0" distB="0" distL="0" distR="0" wp14:anchorId="75E0C2BE" wp14:editId="4A9BED62">
            <wp:extent cx="4067175" cy="1645920"/>
            <wp:effectExtent l="0" t="0" r="9525" b="0"/>
            <wp:docPr id="4" name="Picture 4" descr="Stage 1: Identifying Goals and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ge 1: Identifying Goals and Outco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175" cy="1645920"/>
                    </a:xfrm>
                    <a:prstGeom prst="rect">
                      <a:avLst/>
                    </a:prstGeom>
                    <a:noFill/>
                    <a:ln>
                      <a:noFill/>
                    </a:ln>
                  </pic:spPr>
                </pic:pic>
              </a:graphicData>
            </a:graphic>
          </wp:inline>
        </w:drawing>
      </w:r>
    </w:p>
    <w:p w14:paraId="54C8E274" w14:textId="77777777" w:rsidR="004807A6" w:rsidRDefault="004807A6" w:rsidP="004807A6">
      <w:pPr>
        <w:rPr>
          <w:rFonts w:ascii="Times New Roman" w:eastAsia="Times New Roman" w:hAnsi="Times New Roman" w:cs="Times New Roman"/>
          <w:b/>
          <w:sz w:val="20"/>
          <w:szCs w:val="20"/>
        </w:rPr>
      </w:pPr>
    </w:p>
    <w:p w14:paraId="39A450CF" w14:textId="77777777" w:rsidR="004807A6" w:rsidRDefault="004807A6" w:rsidP="004807A6">
      <w:pPr>
        <w:rPr>
          <w:rFonts w:ascii="Times New Roman" w:eastAsia="Times New Roman" w:hAnsi="Times New Roman" w:cs="Times New Roman"/>
          <w:b/>
          <w:sz w:val="20"/>
          <w:szCs w:val="20"/>
        </w:rPr>
      </w:pPr>
    </w:p>
    <w:p w14:paraId="6FBCF8C7" w14:textId="77777777" w:rsidR="004807A6" w:rsidRDefault="004807A6" w:rsidP="004807A6">
      <w:pPr>
        <w:rPr>
          <w:rFonts w:ascii="Times New Roman" w:eastAsia="Times New Roman" w:hAnsi="Times New Roman" w:cs="Times New Roman"/>
          <w:b/>
          <w:sz w:val="20"/>
          <w:szCs w:val="20"/>
        </w:rPr>
      </w:pPr>
    </w:p>
    <w:p w14:paraId="3FA0D37E" w14:textId="77777777" w:rsidR="004807A6" w:rsidRPr="008316C2" w:rsidRDefault="004807A6" w:rsidP="004807A6">
      <w:pPr>
        <w:widowControl/>
        <w:shd w:val="clear" w:color="auto" w:fill="FFFFFF"/>
        <w:spacing w:before="100" w:beforeAutospacing="1" w:after="100" w:afterAutospacing="1" w:line="360" w:lineRule="atLeast"/>
        <w:outlineLvl w:val="0"/>
        <w:rPr>
          <w:rFonts w:ascii="Arial" w:eastAsia="Times New Roman" w:hAnsi="Arial" w:cs="Arial"/>
          <w:b/>
          <w:bCs/>
          <w:color w:val="99ACBA"/>
          <w:kern w:val="36"/>
          <w:sz w:val="39"/>
          <w:szCs w:val="39"/>
        </w:rPr>
      </w:pPr>
      <w:r w:rsidRPr="008316C2">
        <w:rPr>
          <w:rFonts w:ascii="Arial" w:eastAsia="Times New Roman" w:hAnsi="Arial" w:cs="Arial"/>
          <w:b/>
          <w:bCs/>
          <w:color w:val="99ACBA"/>
          <w:kern w:val="36"/>
          <w:sz w:val="39"/>
          <w:szCs w:val="39"/>
        </w:rPr>
        <w:t>Backwards Mapping and Connecting Outcomes</w:t>
      </w:r>
    </w:p>
    <w:p w14:paraId="17DE6384"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color w:val="373737"/>
          <w:sz w:val="23"/>
          <w:szCs w:val="23"/>
        </w:rPr>
        <w:t>After the first step of laying out the long-term goals and a simple change framework, comes a more detailed stage of the mapping process. Building upon the initial framework, we continue to map backwards until we have a framework that tells the story we think is appropriate for the purposes of planning. Sometimes, this will require much more detail because stakeholders want to identify the “root” causes of the problem they hope to resolve. In other cases, the map will illustrate three or four levels of change, which display a reasonable set of early and intermediate steps toward the long term goal.</w:t>
      </w:r>
    </w:p>
    <w:p w14:paraId="499C7128"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color w:val="373737"/>
          <w:sz w:val="23"/>
          <w:szCs w:val="23"/>
        </w:rPr>
        <w:t xml:space="preserve">Because this work is challenging and most social change programs or broader initiatives have a lot of moving parts, change frameworks usually go through many revisions. Outcomes are added, moved and deleted until a map eventually emerges that tells a story the group can agree on. For the users, the debate is often the most valuable component of TOC because they are now jointly defining the expectations, assumptions and features of </w:t>
      </w:r>
      <w:r w:rsidRPr="008316C2">
        <w:rPr>
          <w:rFonts w:ascii="Arial" w:eastAsia="Times New Roman" w:hAnsi="Arial" w:cs="Arial"/>
          <w:color w:val="373737"/>
          <w:sz w:val="23"/>
          <w:szCs w:val="23"/>
        </w:rPr>
        <w:lastRenderedPageBreak/>
        <w:t>the change process. TOC participants are required to make explicit, and agree upon, the underlying logic of the initiative improving which improves the productivity and accountability.</w:t>
      </w:r>
    </w:p>
    <w:p w14:paraId="11ADD9D6"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noProof/>
          <w:color w:val="1982D1"/>
          <w:sz w:val="23"/>
          <w:szCs w:val="23"/>
        </w:rPr>
        <w:drawing>
          <wp:inline distT="0" distB="0" distL="0" distR="0" wp14:anchorId="5AEE93E7" wp14:editId="0DACF3D1">
            <wp:extent cx="5201107" cy="3274739"/>
            <wp:effectExtent l="0" t="0" r="0" b="0"/>
            <wp:docPr id="6" name="Picture 6" descr="http://www.theoryofchange.org/images/T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oryofchange.org/images/T2.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5307" cy="3277384"/>
                    </a:xfrm>
                    <a:prstGeom prst="rect">
                      <a:avLst/>
                    </a:prstGeom>
                    <a:noFill/>
                    <a:ln>
                      <a:noFill/>
                    </a:ln>
                  </pic:spPr>
                </pic:pic>
              </a:graphicData>
            </a:graphic>
          </wp:inline>
        </w:drawing>
      </w:r>
    </w:p>
    <w:p w14:paraId="558A9319" w14:textId="77777777" w:rsidR="004807A6" w:rsidRDefault="004807A6" w:rsidP="004807A6">
      <w:pPr>
        <w:rPr>
          <w:rFonts w:ascii="Times New Roman" w:eastAsia="Times New Roman" w:hAnsi="Times New Roman" w:cs="Times New Roman"/>
          <w:b/>
          <w:sz w:val="20"/>
          <w:szCs w:val="20"/>
        </w:rPr>
      </w:pPr>
    </w:p>
    <w:p w14:paraId="403A144D" w14:textId="77777777" w:rsidR="004807A6" w:rsidRDefault="004807A6" w:rsidP="004807A6">
      <w:pPr>
        <w:rPr>
          <w:rFonts w:ascii="Times New Roman" w:eastAsia="Times New Roman" w:hAnsi="Times New Roman" w:cs="Times New Roman"/>
          <w:b/>
          <w:sz w:val="20"/>
          <w:szCs w:val="20"/>
        </w:rPr>
      </w:pPr>
    </w:p>
    <w:p w14:paraId="0F29AF3C"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i/>
          <w:iCs/>
          <w:color w:val="373737"/>
          <w:sz w:val="23"/>
          <w:szCs w:val="23"/>
        </w:rPr>
        <w:t>Commentary</w:t>
      </w:r>
    </w:p>
    <w:p w14:paraId="4D343B6E" w14:textId="77777777" w:rsidR="004807A6" w:rsidRPr="008316C2" w:rsidRDefault="004807A6" w:rsidP="004807A6">
      <w:pPr>
        <w:widowControl/>
        <w:shd w:val="clear" w:color="auto" w:fill="FFFFFF"/>
        <w:spacing w:before="100" w:beforeAutospacing="1" w:after="390"/>
        <w:rPr>
          <w:rFonts w:ascii="Georgia" w:eastAsia="Times New Roman" w:hAnsi="Georgia" w:cs="Arial"/>
          <w:i/>
          <w:iCs/>
          <w:color w:val="373737"/>
          <w:sz w:val="23"/>
          <w:szCs w:val="23"/>
        </w:rPr>
      </w:pPr>
      <w:r w:rsidRPr="008316C2">
        <w:rPr>
          <w:rFonts w:ascii="Georgia" w:eastAsia="Times New Roman" w:hAnsi="Georgia" w:cs="Arial"/>
          <w:i/>
          <w:iCs/>
          <w:color w:val="373737"/>
          <w:sz w:val="23"/>
          <w:szCs w:val="23"/>
        </w:rPr>
        <w:t>For the Project Superwomen example, program designers asked themselves what women would need if they were going to have long-term employment. Specifically, how would the project’s participants achieve the three identified preconditions (coping skills, marketable skills, and appropriate workplace behavior) to the ultimate outcome? That required identifying what it would take for women to achieve coping skills, job skills and knowledge of workplace behavior.</w:t>
      </w:r>
    </w:p>
    <w:p w14:paraId="67D8D25C" w14:textId="77777777" w:rsidR="004807A6" w:rsidRPr="008316C2" w:rsidRDefault="004807A6" w:rsidP="004807A6">
      <w:pPr>
        <w:widowControl/>
        <w:shd w:val="clear" w:color="auto" w:fill="FFFFFF"/>
        <w:spacing w:before="100" w:beforeAutospacing="1" w:after="100" w:afterAutospacing="1" w:line="624" w:lineRule="atLeast"/>
        <w:outlineLvl w:val="3"/>
        <w:rPr>
          <w:rFonts w:ascii="Arial" w:eastAsia="Times New Roman" w:hAnsi="Arial" w:cs="Arial"/>
          <w:b/>
          <w:bCs/>
          <w:caps/>
          <w:color w:val="373737"/>
          <w:spacing w:val="24"/>
          <w:sz w:val="15"/>
          <w:szCs w:val="15"/>
        </w:rPr>
      </w:pPr>
      <w:r w:rsidRPr="008316C2">
        <w:rPr>
          <w:rFonts w:ascii="Arial" w:eastAsia="Times New Roman" w:hAnsi="Arial" w:cs="Arial"/>
          <w:b/>
          <w:bCs/>
          <w:i/>
          <w:iCs/>
          <w:caps/>
          <w:color w:val="373737"/>
          <w:spacing w:val="24"/>
          <w:sz w:val="15"/>
          <w:szCs w:val="15"/>
        </w:rPr>
        <w:t>Drawing Connections</w:t>
      </w:r>
    </w:p>
    <w:p w14:paraId="040B06BE"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color w:val="373737"/>
          <w:sz w:val="23"/>
          <w:szCs w:val="23"/>
        </w:rPr>
        <w:t>We continue illustrating how the long-term outcomes are linked to the intermediate ones. In stage 1, we connected the final long-term outcome of employment at a livable wage to the three intermediate outcomes with solid, arrowed lines, indicating that they are preconditions. This process holds for the intermediate outcomes as well. For “Survivors know how to get help and deal with their issues” we use arrowed lines to show that the two outcomes below it are direct preconditions of it.</w:t>
      </w:r>
    </w:p>
    <w:p w14:paraId="360E490B"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color w:val="373737"/>
          <w:sz w:val="23"/>
          <w:szCs w:val="23"/>
        </w:rPr>
        <w:lastRenderedPageBreak/>
        <w:t>Illustrating connections helps to spot-check the initiative’s logic as well as identifying where the initiative should intervene. Following the logical path from outcome to proposed precondition often points out inconsistencies. TOC participants are able to readjust their frameworks and drop or add outcomes as necessary. They also understand when these outcomes will take place on their own or require an intervention by the initiative to make it happen, such as a program activity.</w:t>
      </w:r>
    </w:p>
    <w:p w14:paraId="5D14F04E" w14:textId="77777777" w:rsidR="004807A6" w:rsidRPr="008316C2" w:rsidRDefault="004807A6" w:rsidP="004807A6">
      <w:pPr>
        <w:widowControl/>
        <w:shd w:val="clear" w:color="auto" w:fill="FFFFFF"/>
        <w:spacing w:before="100" w:beforeAutospacing="1" w:after="100" w:afterAutospacing="1" w:line="360" w:lineRule="atLeast"/>
        <w:outlineLvl w:val="0"/>
        <w:rPr>
          <w:rFonts w:ascii="Arial" w:eastAsia="Times New Roman" w:hAnsi="Arial" w:cs="Arial"/>
          <w:b/>
          <w:bCs/>
          <w:color w:val="99ACBA"/>
          <w:kern w:val="36"/>
          <w:sz w:val="39"/>
          <w:szCs w:val="39"/>
        </w:rPr>
      </w:pPr>
      <w:r w:rsidRPr="008316C2">
        <w:rPr>
          <w:rFonts w:ascii="Arial" w:eastAsia="Times New Roman" w:hAnsi="Arial" w:cs="Arial"/>
          <w:b/>
          <w:bCs/>
          <w:color w:val="99ACBA"/>
          <w:kern w:val="36"/>
          <w:sz w:val="39"/>
          <w:szCs w:val="39"/>
        </w:rPr>
        <w:t>Completing the Outcomes Framework</w:t>
      </w:r>
    </w:p>
    <w:p w14:paraId="0753BADA"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noProof/>
          <w:color w:val="373737"/>
          <w:sz w:val="23"/>
          <w:szCs w:val="23"/>
        </w:rPr>
        <w:drawing>
          <wp:inline distT="0" distB="0" distL="0" distR="0" wp14:anchorId="3F1245CF" wp14:editId="3B0CE879">
            <wp:extent cx="2860040" cy="3709035"/>
            <wp:effectExtent l="0" t="0" r="0" b="5715"/>
            <wp:docPr id="8" name="Picture 8" descr="http://www.theoryofchange.org/images/T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oryofchange.org/images/T2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3709035"/>
                    </a:xfrm>
                    <a:prstGeom prst="rect">
                      <a:avLst/>
                    </a:prstGeom>
                    <a:noFill/>
                    <a:ln>
                      <a:noFill/>
                    </a:ln>
                  </pic:spPr>
                </pic:pic>
              </a:graphicData>
            </a:graphic>
          </wp:inline>
        </w:drawing>
      </w:r>
    </w:p>
    <w:p w14:paraId="323400DB"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i/>
          <w:iCs/>
          <w:color w:val="373737"/>
          <w:sz w:val="23"/>
          <w:szCs w:val="23"/>
        </w:rPr>
        <w:t>Commentary</w:t>
      </w:r>
    </w:p>
    <w:p w14:paraId="1011AC3A" w14:textId="77777777" w:rsidR="004807A6" w:rsidRPr="008316C2" w:rsidRDefault="004807A6" w:rsidP="004807A6">
      <w:pPr>
        <w:widowControl/>
        <w:shd w:val="clear" w:color="auto" w:fill="FFFFFF"/>
        <w:spacing w:before="100" w:beforeAutospacing="1" w:after="390"/>
        <w:rPr>
          <w:rFonts w:ascii="Georgia" w:eastAsia="Times New Roman" w:hAnsi="Georgia" w:cs="Arial"/>
          <w:i/>
          <w:iCs/>
          <w:color w:val="373737"/>
          <w:sz w:val="23"/>
          <w:szCs w:val="23"/>
        </w:rPr>
      </w:pPr>
      <w:r w:rsidRPr="008316C2">
        <w:rPr>
          <w:rFonts w:ascii="Georgia" w:eastAsia="Times New Roman" w:hAnsi="Georgia" w:cs="Arial"/>
          <w:i/>
          <w:iCs/>
          <w:color w:val="373737"/>
          <w:sz w:val="23"/>
          <w:szCs w:val="23"/>
        </w:rPr>
        <w:t>To complete the framework the preconditions are fleshed out all the way back to the initial condition—a coalition of organizations working to develop employment programs for domestic violence survivors. Again explaining preconditions remains important, hence for “Women enroll in program” the assumption:</w:t>
      </w:r>
    </w:p>
    <w:p w14:paraId="1108D84F" w14:textId="77777777" w:rsidR="004807A6" w:rsidRPr="008316C2" w:rsidRDefault="004807A6" w:rsidP="004807A6">
      <w:pPr>
        <w:widowControl/>
        <w:shd w:val="clear" w:color="auto" w:fill="FFFFFF"/>
        <w:spacing w:before="100" w:beforeAutospacing="1" w:after="390"/>
        <w:rPr>
          <w:rFonts w:ascii="Georgia" w:eastAsia="Times New Roman" w:hAnsi="Georgia" w:cs="Arial"/>
          <w:i/>
          <w:iCs/>
          <w:color w:val="373737"/>
          <w:sz w:val="23"/>
          <w:szCs w:val="23"/>
        </w:rPr>
      </w:pPr>
      <w:r w:rsidRPr="008316C2">
        <w:rPr>
          <w:rFonts w:ascii="Georgia" w:eastAsia="Times New Roman" w:hAnsi="Georgia" w:cs="Arial"/>
          <w:i/>
          <w:iCs/>
          <w:color w:val="373737"/>
          <w:sz w:val="23"/>
          <w:szCs w:val="23"/>
        </w:rPr>
        <w:t>The program cannot help all women and so entry into the program must include screening so that women who have sufficient literacy and math skills to take the training, and lives stable enough to attend classes are admitted. The program does not have the resources to handle providing basic skills or major social services.</w:t>
      </w:r>
    </w:p>
    <w:p w14:paraId="1B5EFAC2" w14:textId="77777777" w:rsidR="004807A6" w:rsidRPr="008316C2" w:rsidRDefault="004807A6" w:rsidP="004807A6">
      <w:pPr>
        <w:widowControl/>
        <w:shd w:val="clear" w:color="auto" w:fill="FFFFFF"/>
        <w:spacing w:before="100" w:beforeAutospacing="1" w:after="390"/>
        <w:rPr>
          <w:rFonts w:ascii="Georgia" w:eastAsia="Times New Roman" w:hAnsi="Georgia" w:cs="Arial"/>
          <w:i/>
          <w:iCs/>
          <w:color w:val="373737"/>
          <w:sz w:val="23"/>
          <w:szCs w:val="23"/>
        </w:rPr>
      </w:pPr>
      <w:r w:rsidRPr="008316C2">
        <w:rPr>
          <w:rFonts w:ascii="Georgia" w:eastAsia="Times New Roman" w:hAnsi="Georgia" w:cs="Arial"/>
          <w:i/>
          <w:iCs/>
          <w:color w:val="373737"/>
          <w:sz w:val="23"/>
          <w:szCs w:val="23"/>
        </w:rPr>
        <w:lastRenderedPageBreak/>
        <w:t>Early on in the planning process, the group realized that they only had the resources to provide assistance to women who had already begun to stabilize their own lives. The program could take care of the temporary issues, such as emergency housing but not something more permanent or serious, such as substance abuse.</w:t>
      </w:r>
    </w:p>
    <w:p w14:paraId="25C6B6D3"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color w:val="373737"/>
          <w:sz w:val="23"/>
          <w:szCs w:val="23"/>
        </w:rPr>
        <w:t>Because of the relative simplicity of this framework, it seems as if the connections are all given. At this stage, you might think: “If it’s below another outcome, then it must be a precondition. Why all the arrowed lines?” While in this example, it is not difficult to organize preconditions, in more complex frameworks, boxes can be near each other without a direct relationship, connections can be made across the framework, etc. For the clarity of the framework, connections are irreplaceable.</w:t>
      </w:r>
    </w:p>
    <w:p w14:paraId="53608808" w14:textId="77777777" w:rsidR="004807A6" w:rsidRPr="008316C2" w:rsidRDefault="004807A6" w:rsidP="004807A6">
      <w:pPr>
        <w:widowControl/>
        <w:shd w:val="clear" w:color="auto" w:fill="FFFFFF"/>
        <w:spacing w:before="100" w:beforeAutospacing="1" w:after="100" w:afterAutospacing="1" w:line="360" w:lineRule="atLeast"/>
        <w:outlineLvl w:val="0"/>
        <w:rPr>
          <w:rFonts w:ascii="Arial" w:eastAsia="Times New Roman" w:hAnsi="Arial" w:cs="Arial"/>
          <w:b/>
          <w:bCs/>
          <w:color w:val="99ACBA"/>
          <w:kern w:val="36"/>
          <w:sz w:val="39"/>
          <w:szCs w:val="39"/>
        </w:rPr>
      </w:pPr>
      <w:r w:rsidRPr="008316C2">
        <w:rPr>
          <w:rFonts w:ascii="Arial" w:eastAsia="Times New Roman" w:hAnsi="Arial" w:cs="Arial"/>
          <w:b/>
          <w:bCs/>
          <w:color w:val="99ACBA"/>
          <w:kern w:val="36"/>
          <w:sz w:val="39"/>
          <w:szCs w:val="39"/>
        </w:rPr>
        <w:t>Identifying Assumptions</w:t>
      </w:r>
    </w:p>
    <w:p w14:paraId="394F6A68"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color w:val="373737"/>
          <w:sz w:val="23"/>
          <w:szCs w:val="23"/>
        </w:rPr>
        <w:t>As previously discussed, the program designers realized that the program could only effectively work with women who had already begun to stabilize their lives. Any initiative is only as sound as its assumptions. Unfortunately, these assumptions are too often unvoiced or presumed frequently leading to confusion and misunderstanding in the operation and evaluation of the initiative. To address that problem, TOC documents assumptions to ensure agreement for planning and posterity.</w:t>
      </w:r>
    </w:p>
    <w:p w14:paraId="36B1E6E8"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b/>
          <w:bCs/>
          <w:color w:val="373737"/>
          <w:sz w:val="23"/>
          <w:szCs w:val="23"/>
        </w:rPr>
        <w:t>For the long-term outcome: “Long-term employment at livable wages for domestic violence survivors”, these assumptions must be met for the outcome to be achievable:</w:t>
      </w:r>
    </w:p>
    <w:p w14:paraId="61F424ED" w14:textId="77777777" w:rsidR="004807A6" w:rsidRPr="008316C2" w:rsidRDefault="004807A6" w:rsidP="004807A6">
      <w:pPr>
        <w:widowControl/>
        <w:shd w:val="clear" w:color="auto" w:fill="FFFFFF"/>
        <w:spacing w:before="100" w:beforeAutospacing="1" w:after="390"/>
        <w:rPr>
          <w:rFonts w:ascii="Georgia" w:eastAsia="Times New Roman" w:hAnsi="Georgia" w:cs="Arial"/>
          <w:i/>
          <w:iCs/>
          <w:color w:val="373737"/>
          <w:sz w:val="23"/>
          <w:szCs w:val="23"/>
        </w:rPr>
      </w:pPr>
      <w:r w:rsidRPr="008316C2">
        <w:rPr>
          <w:rFonts w:ascii="Georgia" w:eastAsia="Times New Roman" w:hAnsi="Georgia" w:cs="Arial"/>
          <w:i/>
          <w:iCs/>
          <w:color w:val="373737"/>
          <w:sz w:val="23"/>
          <w:szCs w:val="23"/>
        </w:rPr>
        <w:t>A. There are jobs available in non-traditional skills for women.</w:t>
      </w:r>
    </w:p>
    <w:p w14:paraId="6E397F59" w14:textId="77777777" w:rsidR="004807A6" w:rsidRPr="008316C2" w:rsidRDefault="004807A6" w:rsidP="004807A6">
      <w:pPr>
        <w:widowControl/>
        <w:shd w:val="clear" w:color="auto" w:fill="FFFFFF"/>
        <w:spacing w:before="100" w:beforeAutospacing="1" w:after="390"/>
        <w:rPr>
          <w:rFonts w:ascii="Georgia" w:eastAsia="Times New Roman" w:hAnsi="Georgia" w:cs="Arial"/>
          <w:i/>
          <w:iCs/>
          <w:color w:val="373737"/>
          <w:sz w:val="23"/>
          <w:szCs w:val="23"/>
        </w:rPr>
      </w:pPr>
      <w:r w:rsidRPr="008316C2">
        <w:rPr>
          <w:rFonts w:ascii="Georgia" w:eastAsia="Times New Roman" w:hAnsi="Georgia" w:cs="Arial"/>
          <w:i/>
          <w:iCs/>
          <w:color w:val="373737"/>
          <w:sz w:val="23"/>
          <w:szCs w:val="23"/>
        </w:rPr>
        <w:t xml:space="preserve">B. Jobs in non-traditional areas of work for women, such as electrical, plumbing, carpentry and building management are more likely to pay livable wages and are more likely to be unionized and provide job security. Some of these jobs also provide a ladder of upward mobility, from apprenticeship to master, giving entry-level employees a career future. </w:t>
      </w:r>
    </w:p>
    <w:p w14:paraId="2ED75EB6"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color w:val="373737"/>
          <w:sz w:val="23"/>
          <w:szCs w:val="23"/>
        </w:rPr>
        <w:t>These two assumptions make explicit why the participants believe this program can work: there are jobs in non-traditional work and that those jobs can offer better financial and professional</w:t>
      </w:r>
    </w:p>
    <w:p w14:paraId="17593CD1"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b/>
          <w:bCs/>
          <w:color w:val="373737"/>
          <w:sz w:val="23"/>
          <w:szCs w:val="23"/>
        </w:rPr>
        <w:t>For the outcome: “Survivors attain coping skills”, (which is also a precondition of the long-term outcome): the assumption is:</w:t>
      </w:r>
    </w:p>
    <w:p w14:paraId="557EE974" w14:textId="77777777" w:rsidR="004807A6" w:rsidRPr="008316C2" w:rsidRDefault="004807A6" w:rsidP="004807A6">
      <w:pPr>
        <w:widowControl/>
        <w:shd w:val="clear" w:color="auto" w:fill="FFFFFF"/>
        <w:spacing w:before="100" w:beforeAutospacing="1" w:after="390"/>
        <w:rPr>
          <w:rFonts w:ascii="Georgia" w:eastAsia="Times New Roman" w:hAnsi="Georgia" w:cs="Arial"/>
          <w:i/>
          <w:iCs/>
          <w:color w:val="373737"/>
          <w:sz w:val="23"/>
          <w:szCs w:val="23"/>
        </w:rPr>
      </w:pPr>
      <w:r w:rsidRPr="008316C2">
        <w:rPr>
          <w:rFonts w:ascii="Georgia" w:eastAsia="Times New Roman" w:hAnsi="Georgia" w:cs="Arial"/>
          <w:i/>
          <w:iCs/>
          <w:color w:val="373737"/>
          <w:sz w:val="23"/>
          <w:szCs w:val="23"/>
        </w:rPr>
        <w:t>C. Women who have been abused need more than just skills, they need to be emotionally ready for work as well.</w:t>
      </w:r>
    </w:p>
    <w:p w14:paraId="00CEE495"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color w:val="373737"/>
          <w:sz w:val="23"/>
          <w:szCs w:val="23"/>
        </w:rPr>
        <w:lastRenderedPageBreak/>
        <w:t>Again, this assumption clarifies why and how this program is different from traditional job-training programs, i.e., the special psychological supports needed for the initiative’s clients.</w:t>
      </w:r>
    </w:p>
    <w:p w14:paraId="1C23C8A6"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b/>
          <w:bCs/>
          <w:color w:val="373737"/>
          <w:sz w:val="23"/>
          <w:szCs w:val="23"/>
        </w:rPr>
        <w:t>For the outcome: “Survivors have marketable skills in non-traditional jobs”, it is assumed that:</w:t>
      </w:r>
    </w:p>
    <w:p w14:paraId="23D55BB4" w14:textId="77777777" w:rsidR="004807A6" w:rsidRPr="008316C2" w:rsidRDefault="004807A6" w:rsidP="004807A6">
      <w:pPr>
        <w:widowControl/>
        <w:shd w:val="clear" w:color="auto" w:fill="FFFFFF"/>
        <w:spacing w:before="100" w:beforeAutospacing="1" w:after="390"/>
        <w:rPr>
          <w:rFonts w:ascii="Georgia" w:eastAsia="Times New Roman" w:hAnsi="Georgia" w:cs="Arial"/>
          <w:i/>
          <w:iCs/>
          <w:color w:val="373737"/>
          <w:sz w:val="23"/>
          <w:szCs w:val="23"/>
        </w:rPr>
      </w:pPr>
      <w:r w:rsidRPr="008316C2">
        <w:rPr>
          <w:rFonts w:ascii="Georgia" w:eastAsia="Times New Roman" w:hAnsi="Georgia" w:cs="Arial"/>
          <w:i/>
          <w:iCs/>
          <w:color w:val="373737"/>
          <w:sz w:val="23"/>
          <w:szCs w:val="23"/>
        </w:rPr>
        <w:t>D. Women can learn non-traditional skills and compete in the marketplace.</w:t>
      </w:r>
      <w:r w:rsidRPr="008316C2">
        <w:rPr>
          <w:rFonts w:ascii="Georgia" w:eastAsia="Times New Roman" w:hAnsi="Georgia" w:cs="Arial"/>
          <w:i/>
          <w:iCs/>
          <w:color w:val="373737"/>
          <w:sz w:val="23"/>
          <w:szCs w:val="23"/>
        </w:rPr>
        <w:br/>
        <w:t>This assumption is an article of faith that women can compete and succeed in this new labor market.</w:t>
      </w:r>
    </w:p>
    <w:p w14:paraId="4B2BCDBD"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color w:val="373737"/>
          <w:sz w:val="23"/>
          <w:szCs w:val="23"/>
        </w:rPr>
        <w:t>Documenting assumptions and justifications is a continuous process. As outcomes are added and moved on the framework, it remains necessary to question and explain how and why they are necessary.</w:t>
      </w:r>
    </w:p>
    <w:p w14:paraId="6A809679" w14:textId="77777777" w:rsidR="004807A6" w:rsidRPr="008316C2" w:rsidRDefault="004807A6" w:rsidP="004807A6">
      <w:pPr>
        <w:widowControl/>
        <w:shd w:val="clear" w:color="auto" w:fill="FFFFFF"/>
        <w:spacing w:before="100" w:beforeAutospacing="1" w:after="100" w:afterAutospacing="1" w:line="360" w:lineRule="atLeast"/>
        <w:outlineLvl w:val="0"/>
        <w:rPr>
          <w:rFonts w:ascii="Arial" w:eastAsia="Times New Roman" w:hAnsi="Arial" w:cs="Arial"/>
          <w:b/>
          <w:bCs/>
          <w:color w:val="99ACBA"/>
          <w:kern w:val="36"/>
          <w:sz w:val="39"/>
          <w:szCs w:val="39"/>
        </w:rPr>
      </w:pPr>
      <w:r w:rsidRPr="008316C2">
        <w:rPr>
          <w:rFonts w:ascii="Arial" w:eastAsia="Times New Roman" w:hAnsi="Arial" w:cs="Arial"/>
          <w:b/>
          <w:bCs/>
          <w:color w:val="99ACBA"/>
          <w:kern w:val="36"/>
          <w:sz w:val="39"/>
          <w:szCs w:val="39"/>
        </w:rPr>
        <w:t>Developing Indicators</w:t>
      </w:r>
    </w:p>
    <w:p w14:paraId="62199B23"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color w:val="373737"/>
          <w:sz w:val="23"/>
          <w:szCs w:val="23"/>
        </w:rPr>
        <w:t>The Indicators stage is when details are added to the change framework. This stage focuses on how to measure the implementation and effectiveness of the initiative. By collecting data on each outcome, the initiative can identify what it is or isn’t happening and find out why.</w:t>
      </w:r>
      <w:r w:rsidRPr="008316C2">
        <w:rPr>
          <w:rFonts w:ascii="Arial" w:eastAsia="Times New Roman" w:hAnsi="Arial" w:cs="Arial"/>
          <w:color w:val="373737"/>
          <w:sz w:val="23"/>
          <w:szCs w:val="23"/>
        </w:rPr>
        <w:br/>
        <w:t>Each indicator has four parts: population, target, threshold and timeline. But you can forget the jargon. Simply put, for each indicator you want to ask</w:t>
      </w:r>
      <w:proofErr w:type="gramStart"/>
      <w:r w:rsidRPr="008316C2">
        <w:rPr>
          <w:rFonts w:ascii="Arial" w:eastAsia="Times New Roman" w:hAnsi="Arial" w:cs="Arial"/>
          <w:color w:val="373737"/>
          <w:sz w:val="23"/>
          <w:szCs w:val="23"/>
        </w:rPr>
        <w:t>:</w:t>
      </w:r>
      <w:proofErr w:type="gramEnd"/>
      <w:r w:rsidRPr="008316C2">
        <w:rPr>
          <w:rFonts w:ascii="Arial" w:eastAsia="Times New Roman" w:hAnsi="Arial" w:cs="Arial"/>
          <w:color w:val="373737"/>
          <w:sz w:val="23"/>
          <w:szCs w:val="23"/>
        </w:rPr>
        <w:br/>
        <w:t>Who is changing? (</w:t>
      </w:r>
      <w:proofErr w:type="gramStart"/>
      <w:r w:rsidRPr="008316C2">
        <w:rPr>
          <w:rFonts w:ascii="Arial" w:eastAsia="Times New Roman" w:hAnsi="Arial" w:cs="Arial"/>
          <w:color w:val="373737"/>
          <w:sz w:val="23"/>
          <w:szCs w:val="23"/>
        </w:rPr>
        <w:t>women</w:t>
      </w:r>
      <w:proofErr w:type="gramEnd"/>
      <w:r w:rsidRPr="008316C2">
        <w:rPr>
          <w:rFonts w:ascii="Arial" w:eastAsia="Times New Roman" w:hAnsi="Arial" w:cs="Arial"/>
          <w:color w:val="373737"/>
          <w:sz w:val="23"/>
          <w:szCs w:val="23"/>
        </w:rPr>
        <w:t xml:space="preserve"> enrolled in the program)</w:t>
      </w:r>
      <w:r w:rsidRPr="008316C2">
        <w:rPr>
          <w:rFonts w:ascii="Arial" w:eastAsia="Times New Roman" w:hAnsi="Arial" w:cs="Arial"/>
          <w:color w:val="373737"/>
          <w:sz w:val="23"/>
          <w:szCs w:val="23"/>
        </w:rPr>
        <w:br/>
        <w:t>How many do we expect will succeed? (</w:t>
      </w:r>
      <w:proofErr w:type="gramStart"/>
      <w:r w:rsidRPr="008316C2">
        <w:rPr>
          <w:rFonts w:ascii="Arial" w:eastAsia="Times New Roman" w:hAnsi="Arial" w:cs="Arial"/>
          <w:color w:val="373737"/>
          <w:sz w:val="23"/>
          <w:szCs w:val="23"/>
        </w:rPr>
        <w:t>perhaps</w:t>
      </w:r>
      <w:proofErr w:type="gramEnd"/>
      <w:r w:rsidRPr="008316C2">
        <w:rPr>
          <w:rFonts w:ascii="Arial" w:eastAsia="Times New Roman" w:hAnsi="Arial" w:cs="Arial"/>
          <w:color w:val="373737"/>
          <w:sz w:val="23"/>
          <w:szCs w:val="23"/>
        </w:rPr>
        <w:t xml:space="preserve"> 90% of the enrolled women)</w:t>
      </w:r>
      <w:r w:rsidRPr="008316C2">
        <w:rPr>
          <w:rFonts w:ascii="Arial" w:eastAsia="Times New Roman" w:hAnsi="Arial" w:cs="Arial"/>
          <w:color w:val="373737"/>
          <w:sz w:val="23"/>
          <w:szCs w:val="23"/>
        </w:rPr>
        <w:br/>
        <w:t>How much is good enough? (</w:t>
      </w:r>
      <w:proofErr w:type="gramStart"/>
      <w:r w:rsidRPr="008316C2">
        <w:rPr>
          <w:rFonts w:ascii="Arial" w:eastAsia="Times New Roman" w:hAnsi="Arial" w:cs="Arial"/>
          <w:color w:val="373737"/>
          <w:sz w:val="23"/>
          <w:szCs w:val="23"/>
        </w:rPr>
        <w:t>a</w:t>
      </w:r>
      <w:proofErr w:type="gramEnd"/>
      <w:r w:rsidRPr="008316C2">
        <w:rPr>
          <w:rFonts w:ascii="Arial" w:eastAsia="Times New Roman" w:hAnsi="Arial" w:cs="Arial"/>
          <w:color w:val="373737"/>
          <w:sz w:val="23"/>
          <w:szCs w:val="23"/>
        </w:rPr>
        <w:t xml:space="preserve"> $12 per hour job for at least six months?)</w:t>
      </w:r>
      <w:r w:rsidRPr="008316C2">
        <w:rPr>
          <w:rFonts w:ascii="Arial" w:eastAsia="Times New Roman" w:hAnsi="Arial" w:cs="Arial"/>
          <w:color w:val="373737"/>
          <w:sz w:val="23"/>
          <w:szCs w:val="23"/>
        </w:rPr>
        <w:br/>
        <w:t>By when does this outcome need to happen? (</w:t>
      </w:r>
      <w:proofErr w:type="gramStart"/>
      <w:r w:rsidRPr="008316C2">
        <w:rPr>
          <w:rFonts w:ascii="Arial" w:eastAsia="Times New Roman" w:hAnsi="Arial" w:cs="Arial"/>
          <w:color w:val="373737"/>
          <w:sz w:val="23"/>
          <w:szCs w:val="23"/>
        </w:rPr>
        <w:t>perhaps</w:t>
      </w:r>
      <w:proofErr w:type="gramEnd"/>
      <w:r w:rsidRPr="008316C2">
        <w:rPr>
          <w:rFonts w:ascii="Arial" w:eastAsia="Times New Roman" w:hAnsi="Arial" w:cs="Arial"/>
          <w:color w:val="373737"/>
          <w:sz w:val="23"/>
          <w:szCs w:val="23"/>
        </w:rPr>
        <w:t xml:space="preserve"> within two months of graduation)</w:t>
      </w:r>
    </w:p>
    <w:p w14:paraId="0B617F3C" w14:textId="77777777" w:rsidR="004807A6" w:rsidRPr="008316C2" w:rsidRDefault="004807A6" w:rsidP="004807A6">
      <w:pPr>
        <w:widowControl/>
        <w:numPr>
          <w:ilvl w:val="0"/>
          <w:numId w:val="1"/>
        </w:numPr>
        <w:shd w:val="clear" w:color="auto" w:fill="FFFFFF"/>
        <w:spacing w:before="100" w:beforeAutospacing="1" w:after="100" w:afterAutospacing="1"/>
        <w:ind w:left="607"/>
        <w:rPr>
          <w:rFonts w:ascii="Arial" w:eastAsia="Times New Roman" w:hAnsi="Arial" w:cs="Arial"/>
          <w:color w:val="373737"/>
          <w:sz w:val="23"/>
          <w:szCs w:val="23"/>
        </w:rPr>
      </w:pPr>
      <w:r w:rsidRPr="008316C2">
        <w:rPr>
          <w:rFonts w:ascii="Arial" w:eastAsia="Times New Roman" w:hAnsi="Arial" w:cs="Arial"/>
          <w:b/>
          <w:bCs/>
          <w:color w:val="373737"/>
          <w:sz w:val="23"/>
          <w:szCs w:val="23"/>
        </w:rPr>
        <w:t>Indicator</w:t>
      </w:r>
      <w:r w:rsidRPr="008316C2">
        <w:rPr>
          <w:rFonts w:ascii="Arial" w:eastAsia="Times New Roman" w:hAnsi="Arial" w:cs="Arial"/>
          <w:color w:val="373737"/>
          <w:sz w:val="23"/>
          <w:szCs w:val="23"/>
        </w:rPr>
        <w:t xml:space="preserve"> is the actual variable being measured, such as average test scores or proficiency in a particular skill.</w:t>
      </w:r>
    </w:p>
    <w:p w14:paraId="365ADB64" w14:textId="77777777" w:rsidR="004807A6" w:rsidRPr="008316C2" w:rsidRDefault="004807A6" w:rsidP="004807A6">
      <w:pPr>
        <w:widowControl/>
        <w:numPr>
          <w:ilvl w:val="0"/>
          <w:numId w:val="1"/>
        </w:numPr>
        <w:shd w:val="clear" w:color="auto" w:fill="FFFFFF"/>
        <w:spacing w:before="100" w:beforeAutospacing="1" w:after="100" w:afterAutospacing="1"/>
        <w:ind w:left="607"/>
        <w:rPr>
          <w:rFonts w:ascii="Arial" w:eastAsia="Times New Roman" w:hAnsi="Arial" w:cs="Arial"/>
          <w:color w:val="373737"/>
          <w:sz w:val="23"/>
          <w:szCs w:val="23"/>
        </w:rPr>
      </w:pPr>
      <w:r w:rsidRPr="008316C2">
        <w:rPr>
          <w:rFonts w:ascii="Arial" w:eastAsia="Times New Roman" w:hAnsi="Arial" w:cs="Arial"/>
          <w:b/>
          <w:bCs/>
          <w:color w:val="373737"/>
          <w:sz w:val="23"/>
          <w:szCs w:val="23"/>
        </w:rPr>
        <w:t>Population</w:t>
      </w:r>
      <w:r w:rsidRPr="008316C2">
        <w:rPr>
          <w:rFonts w:ascii="Arial" w:eastAsia="Times New Roman" w:hAnsi="Arial" w:cs="Arial"/>
          <w:color w:val="373737"/>
          <w:sz w:val="23"/>
          <w:szCs w:val="23"/>
        </w:rPr>
        <w:t xml:space="preserve"> is the group that you are measuring, such as a program’s clients.</w:t>
      </w:r>
    </w:p>
    <w:p w14:paraId="569F66D1" w14:textId="77777777" w:rsidR="004807A6" w:rsidRPr="008316C2" w:rsidRDefault="004807A6" w:rsidP="004807A6">
      <w:pPr>
        <w:widowControl/>
        <w:numPr>
          <w:ilvl w:val="0"/>
          <w:numId w:val="1"/>
        </w:numPr>
        <w:shd w:val="clear" w:color="auto" w:fill="FFFFFF"/>
        <w:spacing w:before="100" w:beforeAutospacing="1" w:after="100" w:afterAutospacing="1"/>
        <w:ind w:left="607"/>
        <w:rPr>
          <w:rFonts w:ascii="Arial" w:eastAsia="Times New Roman" w:hAnsi="Arial" w:cs="Arial"/>
          <w:color w:val="373737"/>
          <w:sz w:val="23"/>
          <w:szCs w:val="23"/>
        </w:rPr>
      </w:pPr>
      <w:r w:rsidRPr="008316C2">
        <w:rPr>
          <w:rFonts w:ascii="Arial" w:eastAsia="Times New Roman" w:hAnsi="Arial" w:cs="Arial"/>
          <w:b/>
          <w:bCs/>
          <w:color w:val="373737"/>
          <w:sz w:val="23"/>
          <w:szCs w:val="23"/>
        </w:rPr>
        <w:t>Threshold</w:t>
      </w:r>
      <w:r w:rsidRPr="008316C2">
        <w:rPr>
          <w:rFonts w:ascii="Arial" w:eastAsia="Times New Roman" w:hAnsi="Arial" w:cs="Arial"/>
          <w:color w:val="373737"/>
          <w:sz w:val="23"/>
          <w:szCs w:val="23"/>
        </w:rPr>
        <w:t xml:space="preserve"> represents the minimum for the outcome to be successfully achieved. (E.g. the threshold for a successful election between two candidates is 51% of the vote; if there were three or more candidates, the threshold would be lower, because only a majority of the votes would be required to be successful.)</w:t>
      </w:r>
    </w:p>
    <w:p w14:paraId="3C383173"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color w:val="373737"/>
          <w:sz w:val="23"/>
          <w:szCs w:val="23"/>
        </w:rPr>
        <w:t>Here are some sample indicators for Project Superwomen:</w:t>
      </w:r>
    </w:p>
    <w:tbl>
      <w:tblPr>
        <w:tblW w:w="5000" w:type="pct"/>
        <w:tblCellSpacing w:w="15" w:type="dxa"/>
        <w:tblBorders>
          <w:bottom w:val="single" w:sz="6" w:space="0" w:color="DDDDDD"/>
        </w:tblBorders>
        <w:tblCellMar>
          <w:left w:w="0" w:type="dxa"/>
          <w:right w:w="0" w:type="dxa"/>
        </w:tblCellMar>
        <w:tblLook w:val="04A0" w:firstRow="1" w:lastRow="0" w:firstColumn="1" w:lastColumn="0" w:noHBand="0" w:noVBand="1"/>
      </w:tblPr>
      <w:tblGrid>
        <w:gridCol w:w="1448"/>
        <w:gridCol w:w="7912"/>
      </w:tblGrid>
      <w:tr w:rsidR="004807A6" w:rsidRPr="008316C2" w14:paraId="4EDCB5EC" w14:textId="77777777" w:rsidTr="006C6F3E">
        <w:trPr>
          <w:trHeight w:val="417"/>
          <w:tblCellSpacing w:w="15" w:type="dxa"/>
        </w:trPr>
        <w:tc>
          <w:tcPr>
            <w:tcW w:w="750" w:type="pct"/>
            <w:tcBorders>
              <w:top w:val="single" w:sz="6" w:space="0" w:color="DDDDDD"/>
            </w:tcBorders>
            <w:tcMar>
              <w:top w:w="90" w:type="dxa"/>
              <w:left w:w="0" w:type="dxa"/>
              <w:bottom w:w="90" w:type="dxa"/>
              <w:right w:w="150" w:type="dxa"/>
            </w:tcMar>
            <w:vAlign w:val="center"/>
            <w:hideMark/>
          </w:tcPr>
          <w:p w14:paraId="52CDD43B"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Outcome 1:</w:t>
            </w:r>
          </w:p>
        </w:tc>
        <w:tc>
          <w:tcPr>
            <w:tcW w:w="4202" w:type="pct"/>
            <w:tcBorders>
              <w:top w:val="single" w:sz="6" w:space="0" w:color="DDDDDD"/>
            </w:tcBorders>
            <w:tcMar>
              <w:top w:w="90" w:type="dxa"/>
              <w:left w:w="0" w:type="dxa"/>
              <w:bottom w:w="90" w:type="dxa"/>
              <w:right w:w="150" w:type="dxa"/>
            </w:tcMar>
            <w:vAlign w:val="center"/>
            <w:hideMark/>
          </w:tcPr>
          <w:p w14:paraId="3D53B1E7"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Long-term employment at a livable wage for domestic violence survivors</w:t>
            </w:r>
          </w:p>
        </w:tc>
      </w:tr>
      <w:tr w:rsidR="004807A6" w:rsidRPr="008316C2" w14:paraId="11149B3F" w14:textId="77777777" w:rsidTr="006C6F3E">
        <w:trPr>
          <w:trHeight w:val="654"/>
          <w:tblCellSpacing w:w="15" w:type="dxa"/>
        </w:trPr>
        <w:tc>
          <w:tcPr>
            <w:tcW w:w="750" w:type="pct"/>
            <w:tcBorders>
              <w:top w:val="single" w:sz="6" w:space="0" w:color="DDDDDD"/>
            </w:tcBorders>
            <w:tcMar>
              <w:top w:w="90" w:type="dxa"/>
              <w:left w:w="0" w:type="dxa"/>
              <w:bottom w:w="90" w:type="dxa"/>
              <w:right w:w="150" w:type="dxa"/>
            </w:tcMar>
            <w:vAlign w:val="center"/>
            <w:hideMark/>
          </w:tcPr>
          <w:p w14:paraId="043BF1C2"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Indicator :</w:t>
            </w:r>
          </w:p>
        </w:tc>
        <w:tc>
          <w:tcPr>
            <w:tcW w:w="4202" w:type="pct"/>
            <w:tcBorders>
              <w:top w:val="single" w:sz="6" w:space="0" w:color="DDDDDD"/>
            </w:tcBorders>
            <w:tcMar>
              <w:top w:w="90" w:type="dxa"/>
              <w:left w:w="0" w:type="dxa"/>
              <w:bottom w:w="90" w:type="dxa"/>
              <w:right w:w="150" w:type="dxa"/>
            </w:tcMar>
            <w:vAlign w:val="center"/>
            <w:hideMark/>
          </w:tcPr>
          <w:p w14:paraId="0AB65CD9"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Employment</w:t>
            </w:r>
          </w:p>
        </w:tc>
      </w:tr>
      <w:tr w:rsidR="004807A6" w:rsidRPr="008316C2" w14:paraId="5DFD409B" w14:textId="77777777" w:rsidTr="006C6F3E">
        <w:trPr>
          <w:trHeight w:val="655"/>
          <w:tblCellSpacing w:w="15" w:type="dxa"/>
        </w:trPr>
        <w:tc>
          <w:tcPr>
            <w:tcW w:w="750" w:type="pct"/>
            <w:tcBorders>
              <w:top w:val="single" w:sz="6" w:space="0" w:color="DDDDDD"/>
            </w:tcBorders>
            <w:tcMar>
              <w:top w:w="90" w:type="dxa"/>
              <w:left w:w="0" w:type="dxa"/>
              <w:bottom w:w="90" w:type="dxa"/>
              <w:right w:w="150" w:type="dxa"/>
            </w:tcMar>
            <w:vAlign w:val="center"/>
            <w:hideMark/>
          </w:tcPr>
          <w:p w14:paraId="5E946C05"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lastRenderedPageBreak/>
              <w:t>Population:</w:t>
            </w:r>
          </w:p>
        </w:tc>
        <w:tc>
          <w:tcPr>
            <w:tcW w:w="4202" w:type="pct"/>
            <w:tcBorders>
              <w:top w:val="single" w:sz="6" w:space="0" w:color="DDDDDD"/>
            </w:tcBorders>
            <w:tcMar>
              <w:top w:w="90" w:type="dxa"/>
              <w:left w:w="0" w:type="dxa"/>
              <w:bottom w:w="90" w:type="dxa"/>
              <w:right w:w="150" w:type="dxa"/>
            </w:tcMar>
            <w:vAlign w:val="center"/>
            <w:hideMark/>
          </w:tcPr>
          <w:p w14:paraId="7F00D521"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Program graduates</w:t>
            </w:r>
          </w:p>
        </w:tc>
      </w:tr>
      <w:tr w:rsidR="004807A6" w:rsidRPr="008316C2" w14:paraId="2ED9DB2A" w14:textId="77777777" w:rsidTr="006C6F3E">
        <w:trPr>
          <w:trHeight w:val="654"/>
          <w:tblCellSpacing w:w="15" w:type="dxa"/>
        </w:trPr>
        <w:tc>
          <w:tcPr>
            <w:tcW w:w="750" w:type="pct"/>
            <w:tcBorders>
              <w:top w:val="single" w:sz="6" w:space="0" w:color="DDDDDD"/>
            </w:tcBorders>
            <w:tcMar>
              <w:top w:w="90" w:type="dxa"/>
              <w:left w:w="0" w:type="dxa"/>
              <w:bottom w:w="90" w:type="dxa"/>
              <w:right w:w="150" w:type="dxa"/>
            </w:tcMar>
            <w:vAlign w:val="center"/>
            <w:hideMark/>
          </w:tcPr>
          <w:p w14:paraId="57A4709F"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Threshold:</w:t>
            </w:r>
          </w:p>
        </w:tc>
        <w:tc>
          <w:tcPr>
            <w:tcW w:w="4202" w:type="pct"/>
            <w:tcBorders>
              <w:top w:val="single" w:sz="6" w:space="0" w:color="DDDDDD"/>
            </w:tcBorders>
            <w:tcMar>
              <w:top w:w="90" w:type="dxa"/>
              <w:left w:w="0" w:type="dxa"/>
              <w:bottom w:w="90" w:type="dxa"/>
              <w:right w:w="150" w:type="dxa"/>
            </w:tcMar>
            <w:vAlign w:val="center"/>
            <w:hideMark/>
          </w:tcPr>
          <w:p w14:paraId="5A815655"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Remain in job at least 6 months and earn at least $12 per hour</w:t>
            </w:r>
          </w:p>
        </w:tc>
      </w:tr>
      <w:tr w:rsidR="004807A6" w:rsidRPr="008316C2" w14:paraId="7DE914B4" w14:textId="77777777" w:rsidTr="006C6F3E">
        <w:trPr>
          <w:trHeight w:val="655"/>
          <w:tblCellSpacing w:w="15" w:type="dxa"/>
        </w:trPr>
        <w:tc>
          <w:tcPr>
            <w:tcW w:w="750" w:type="pct"/>
            <w:tcBorders>
              <w:top w:val="single" w:sz="6" w:space="0" w:color="DDDDDD"/>
            </w:tcBorders>
            <w:tcMar>
              <w:top w:w="90" w:type="dxa"/>
              <w:left w:w="0" w:type="dxa"/>
              <w:bottom w:w="90" w:type="dxa"/>
              <w:right w:w="150" w:type="dxa"/>
            </w:tcMar>
            <w:vAlign w:val="center"/>
            <w:hideMark/>
          </w:tcPr>
          <w:p w14:paraId="76B99D64" w14:textId="77777777" w:rsidR="004807A6" w:rsidRPr="008316C2" w:rsidRDefault="004807A6" w:rsidP="006C6F3E">
            <w:pPr>
              <w:widowControl/>
              <w:spacing w:after="390"/>
              <w:rPr>
                <w:rFonts w:ascii="Arial" w:eastAsia="Times New Roman" w:hAnsi="Arial" w:cs="Arial"/>
                <w:color w:val="373737"/>
                <w:sz w:val="23"/>
                <w:szCs w:val="23"/>
              </w:rPr>
            </w:pPr>
          </w:p>
        </w:tc>
        <w:tc>
          <w:tcPr>
            <w:tcW w:w="4202" w:type="pct"/>
            <w:tcBorders>
              <w:top w:val="single" w:sz="6" w:space="0" w:color="DDDDDD"/>
            </w:tcBorders>
            <w:tcMar>
              <w:top w:w="90" w:type="dxa"/>
              <w:left w:w="0" w:type="dxa"/>
              <w:bottom w:w="90" w:type="dxa"/>
              <w:right w:w="150" w:type="dxa"/>
            </w:tcMar>
            <w:vAlign w:val="center"/>
            <w:hideMark/>
          </w:tcPr>
          <w:p w14:paraId="49D7FBF0" w14:textId="77777777" w:rsidR="004807A6" w:rsidRPr="008316C2" w:rsidRDefault="004807A6" w:rsidP="006C6F3E">
            <w:pPr>
              <w:widowControl/>
              <w:spacing w:after="390"/>
              <w:rPr>
                <w:rFonts w:ascii="Times New Roman" w:eastAsia="Times New Roman" w:hAnsi="Times New Roman" w:cs="Times New Roman"/>
                <w:sz w:val="20"/>
                <w:szCs w:val="20"/>
              </w:rPr>
            </w:pPr>
          </w:p>
        </w:tc>
      </w:tr>
      <w:tr w:rsidR="004807A6" w:rsidRPr="008316C2" w14:paraId="3BD0EB84" w14:textId="77777777" w:rsidTr="006C6F3E">
        <w:trPr>
          <w:trHeight w:val="654"/>
          <w:tblCellSpacing w:w="15" w:type="dxa"/>
        </w:trPr>
        <w:tc>
          <w:tcPr>
            <w:tcW w:w="750" w:type="pct"/>
            <w:tcBorders>
              <w:top w:val="single" w:sz="6" w:space="0" w:color="DDDDDD"/>
            </w:tcBorders>
            <w:tcMar>
              <w:top w:w="90" w:type="dxa"/>
              <w:left w:w="0" w:type="dxa"/>
              <w:bottom w:w="90" w:type="dxa"/>
              <w:right w:w="150" w:type="dxa"/>
            </w:tcMar>
            <w:vAlign w:val="center"/>
            <w:hideMark/>
          </w:tcPr>
          <w:p w14:paraId="71CC3A85"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Outcome 2:</w:t>
            </w:r>
          </w:p>
        </w:tc>
        <w:tc>
          <w:tcPr>
            <w:tcW w:w="4202" w:type="pct"/>
            <w:tcBorders>
              <w:top w:val="single" w:sz="6" w:space="0" w:color="DDDDDD"/>
            </w:tcBorders>
            <w:tcMar>
              <w:top w:w="90" w:type="dxa"/>
              <w:left w:w="0" w:type="dxa"/>
              <w:bottom w:w="90" w:type="dxa"/>
              <w:right w:w="150" w:type="dxa"/>
            </w:tcMar>
            <w:vAlign w:val="center"/>
            <w:hideMark/>
          </w:tcPr>
          <w:p w14:paraId="42EDE758"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Survivors have marketable skills in non-traditional jobs</w:t>
            </w:r>
          </w:p>
        </w:tc>
      </w:tr>
      <w:tr w:rsidR="004807A6" w:rsidRPr="008316C2" w14:paraId="2229E281" w14:textId="77777777" w:rsidTr="006C6F3E">
        <w:trPr>
          <w:trHeight w:val="655"/>
          <w:tblCellSpacing w:w="15" w:type="dxa"/>
        </w:trPr>
        <w:tc>
          <w:tcPr>
            <w:tcW w:w="750" w:type="pct"/>
            <w:tcBorders>
              <w:top w:val="single" w:sz="6" w:space="0" w:color="DDDDDD"/>
            </w:tcBorders>
            <w:tcMar>
              <w:top w:w="90" w:type="dxa"/>
              <w:left w:w="0" w:type="dxa"/>
              <w:bottom w:w="90" w:type="dxa"/>
              <w:right w:w="150" w:type="dxa"/>
            </w:tcMar>
            <w:vAlign w:val="center"/>
            <w:hideMark/>
          </w:tcPr>
          <w:p w14:paraId="58E80AE8"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Indicator :</w:t>
            </w:r>
          </w:p>
        </w:tc>
        <w:tc>
          <w:tcPr>
            <w:tcW w:w="4202" w:type="pct"/>
            <w:tcBorders>
              <w:top w:val="single" w:sz="6" w:space="0" w:color="DDDDDD"/>
            </w:tcBorders>
            <w:tcMar>
              <w:top w:w="90" w:type="dxa"/>
              <w:left w:w="0" w:type="dxa"/>
              <w:bottom w:w="90" w:type="dxa"/>
              <w:right w:w="150" w:type="dxa"/>
            </w:tcMar>
            <w:vAlign w:val="center"/>
            <w:hideMark/>
          </w:tcPr>
          <w:p w14:paraId="58F74BF5"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Skill in electrical, plumbing carpentry or building maintenance</w:t>
            </w:r>
          </w:p>
        </w:tc>
      </w:tr>
      <w:tr w:rsidR="004807A6" w:rsidRPr="008316C2" w14:paraId="4FA10D4F" w14:textId="77777777" w:rsidTr="006C6F3E">
        <w:trPr>
          <w:trHeight w:val="654"/>
          <w:tblCellSpacing w:w="15" w:type="dxa"/>
        </w:trPr>
        <w:tc>
          <w:tcPr>
            <w:tcW w:w="750" w:type="pct"/>
            <w:tcBorders>
              <w:top w:val="single" w:sz="6" w:space="0" w:color="DDDDDD"/>
            </w:tcBorders>
            <w:tcMar>
              <w:top w:w="90" w:type="dxa"/>
              <w:left w:w="0" w:type="dxa"/>
              <w:bottom w:w="90" w:type="dxa"/>
              <w:right w:w="150" w:type="dxa"/>
            </w:tcMar>
            <w:vAlign w:val="center"/>
            <w:hideMark/>
          </w:tcPr>
          <w:p w14:paraId="3BE322F0"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Population:</w:t>
            </w:r>
          </w:p>
        </w:tc>
        <w:tc>
          <w:tcPr>
            <w:tcW w:w="4202" w:type="pct"/>
            <w:tcBorders>
              <w:top w:val="single" w:sz="6" w:space="0" w:color="DDDDDD"/>
            </w:tcBorders>
            <w:tcMar>
              <w:top w:w="90" w:type="dxa"/>
              <w:left w:w="0" w:type="dxa"/>
              <w:bottom w:w="90" w:type="dxa"/>
              <w:right w:w="150" w:type="dxa"/>
            </w:tcMar>
            <w:vAlign w:val="center"/>
            <w:hideMark/>
          </w:tcPr>
          <w:p w14:paraId="13C0343F"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Program participants</w:t>
            </w:r>
          </w:p>
        </w:tc>
      </w:tr>
      <w:tr w:rsidR="004807A6" w:rsidRPr="008316C2" w14:paraId="4D2EBAE0" w14:textId="77777777" w:rsidTr="006C6F3E">
        <w:trPr>
          <w:trHeight w:val="655"/>
          <w:tblCellSpacing w:w="15" w:type="dxa"/>
        </w:trPr>
        <w:tc>
          <w:tcPr>
            <w:tcW w:w="750" w:type="pct"/>
            <w:tcBorders>
              <w:top w:val="single" w:sz="6" w:space="0" w:color="DDDDDD"/>
            </w:tcBorders>
            <w:tcMar>
              <w:top w:w="90" w:type="dxa"/>
              <w:left w:w="0" w:type="dxa"/>
              <w:bottom w:w="90" w:type="dxa"/>
              <w:right w:w="150" w:type="dxa"/>
            </w:tcMar>
            <w:vAlign w:val="center"/>
            <w:hideMark/>
          </w:tcPr>
          <w:p w14:paraId="708860EB"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Threshold:</w:t>
            </w:r>
          </w:p>
        </w:tc>
        <w:tc>
          <w:tcPr>
            <w:tcW w:w="4202" w:type="pct"/>
            <w:tcBorders>
              <w:top w:val="single" w:sz="6" w:space="0" w:color="DDDDDD"/>
            </w:tcBorders>
            <w:tcMar>
              <w:top w:w="90" w:type="dxa"/>
              <w:left w:w="0" w:type="dxa"/>
              <w:bottom w:w="90" w:type="dxa"/>
              <w:right w:w="150" w:type="dxa"/>
            </w:tcMar>
            <w:vAlign w:val="center"/>
            <w:hideMark/>
          </w:tcPr>
          <w:p w14:paraId="3AFB13AE"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Successfully complete internship</w:t>
            </w:r>
          </w:p>
        </w:tc>
      </w:tr>
      <w:tr w:rsidR="004807A6" w:rsidRPr="008316C2" w14:paraId="7C4F43B9" w14:textId="77777777" w:rsidTr="006C6F3E">
        <w:trPr>
          <w:trHeight w:val="654"/>
          <w:tblCellSpacing w:w="15" w:type="dxa"/>
        </w:trPr>
        <w:tc>
          <w:tcPr>
            <w:tcW w:w="750" w:type="pct"/>
            <w:tcBorders>
              <w:top w:val="single" w:sz="6" w:space="0" w:color="DDDDDD"/>
            </w:tcBorders>
            <w:tcMar>
              <w:top w:w="90" w:type="dxa"/>
              <w:left w:w="0" w:type="dxa"/>
              <w:bottom w:w="90" w:type="dxa"/>
              <w:right w:w="150" w:type="dxa"/>
            </w:tcMar>
            <w:vAlign w:val="center"/>
            <w:hideMark/>
          </w:tcPr>
          <w:p w14:paraId="14C3F3DA" w14:textId="77777777" w:rsidR="004807A6" w:rsidRPr="008316C2" w:rsidRDefault="004807A6" w:rsidP="006C6F3E">
            <w:pPr>
              <w:widowControl/>
              <w:spacing w:after="390"/>
              <w:rPr>
                <w:rFonts w:ascii="Arial" w:eastAsia="Times New Roman" w:hAnsi="Arial" w:cs="Arial"/>
                <w:color w:val="373737"/>
                <w:sz w:val="23"/>
                <w:szCs w:val="23"/>
              </w:rPr>
            </w:pPr>
          </w:p>
        </w:tc>
        <w:tc>
          <w:tcPr>
            <w:tcW w:w="4202" w:type="pct"/>
            <w:tcBorders>
              <w:top w:val="single" w:sz="6" w:space="0" w:color="DDDDDD"/>
            </w:tcBorders>
            <w:tcMar>
              <w:top w:w="90" w:type="dxa"/>
              <w:left w:w="0" w:type="dxa"/>
              <w:bottom w:w="90" w:type="dxa"/>
              <w:right w:w="150" w:type="dxa"/>
            </w:tcMar>
            <w:vAlign w:val="center"/>
            <w:hideMark/>
          </w:tcPr>
          <w:p w14:paraId="3C6EA8D2" w14:textId="77777777" w:rsidR="004807A6" w:rsidRPr="008316C2" w:rsidRDefault="004807A6" w:rsidP="006C6F3E">
            <w:pPr>
              <w:widowControl/>
              <w:spacing w:after="390"/>
              <w:rPr>
                <w:rFonts w:ascii="Times New Roman" w:eastAsia="Times New Roman" w:hAnsi="Times New Roman" w:cs="Times New Roman"/>
                <w:sz w:val="20"/>
                <w:szCs w:val="20"/>
              </w:rPr>
            </w:pPr>
          </w:p>
        </w:tc>
      </w:tr>
      <w:tr w:rsidR="004807A6" w:rsidRPr="008316C2" w14:paraId="3D37F97D" w14:textId="77777777" w:rsidTr="006C6F3E">
        <w:trPr>
          <w:trHeight w:val="655"/>
          <w:tblCellSpacing w:w="15" w:type="dxa"/>
        </w:trPr>
        <w:tc>
          <w:tcPr>
            <w:tcW w:w="750" w:type="pct"/>
            <w:tcBorders>
              <w:top w:val="single" w:sz="6" w:space="0" w:color="DDDDDD"/>
            </w:tcBorders>
            <w:tcMar>
              <w:top w:w="90" w:type="dxa"/>
              <w:left w:w="0" w:type="dxa"/>
              <w:bottom w:w="90" w:type="dxa"/>
              <w:right w:w="150" w:type="dxa"/>
            </w:tcMar>
            <w:vAlign w:val="center"/>
            <w:hideMark/>
          </w:tcPr>
          <w:p w14:paraId="07E5FC55"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Outcome 2:</w:t>
            </w:r>
          </w:p>
        </w:tc>
        <w:tc>
          <w:tcPr>
            <w:tcW w:w="4202" w:type="pct"/>
            <w:tcBorders>
              <w:top w:val="single" w:sz="6" w:space="0" w:color="DDDDDD"/>
            </w:tcBorders>
            <w:tcMar>
              <w:top w:w="90" w:type="dxa"/>
              <w:left w:w="0" w:type="dxa"/>
              <w:bottom w:w="90" w:type="dxa"/>
              <w:right w:w="150" w:type="dxa"/>
            </w:tcMar>
            <w:vAlign w:val="center"/>
            <w:hideMark/>
          </w:tcPr>
          <w:p w14:paraId="1D0E008E"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Survivors have marketable skills in non-traditional jobs</w:t>
            </w:r>
          </w:p>
        </w:tc>
      </w:tr>
      <w:tr w:rsidR="004807A6" w:rsidRPr="008316C2" w14:paraId="2D570EA8" w14:textId="77777777" w:rsidTr="006C6F3E">
        <w:trPr>
          <w:trHeight w:val="654"/>
          <w:tblCellSpacing w:w="15" w:type="dxa"/>
        </w:trPr>
        <w:tc>
          <w:tcPr>
            <w:tcW w:w="750" w:type="pct"/>
            <w:tcBorders>
              <w:top w:val="single" w:sz="6" w:space="0" w:color="DDDDDD"/>
            </w:tcBorders>
            <w:tcMar>
              <w:top w:w="90" w:type="dxa"/>
              <w:left w:w="0" w:type="dxa"/>
              <w:bottom w:w="90" w:type="dxa"/>
              <w:right w:w="150" w:type="dxa"/>
            </w:tcMar>
            <w:vAlign w:val="center"/>
            <w:hideMark/>
          </w:tcPr>
          <w:p w14:paraId="276B0934"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Indicator :</w:t>
            </w:r>
          </w:p>
        </w:tc>
        <w:tc>
          <w:tcPr>
            <w:tcW w:w="4202" w:type="pct"/>
            <w:tcBorders>
              <w:top w:val="single" w:sz="6" w:space="0" w:color="DDDDDD"/>
            </w:tcBorders>
            <w:tcMar>
              <w:top w:w="90" w:type="dxa"/>
              <w:left w:w="0" w:type="dxa"/>
              <w:bottom w:w="90" w:type="dxa"/>
              <w:right w:w="150" w:type="dxa"/>
            </w:tcMar>
            <w:vAlign w:val="center"/>
            <w:hideMark/>
          </w:tcPr>
          <w:p w14:paraId="504CCCBB"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Program graduation</w:t>
            </w:r>
          </w:p>
        </w:tc>
      </w:tr>
      <w:tr w:rsidR="004807A6" w:rsidRPr="008316C2" w14:paraId="38E3C9A4" w14:textId="77777777" w:rsidTr="006C6F3E">
        <w:trPr>
          <w:trHeight w:val="655"/>
          <w:tblCellSpacing w:w="15" w:type="dxa"/>
        </w:trPr>
        <w:tc>
          <w:tcPr>
            <w:tcW w:w="750" w:type="pct"/>
            <w:tcBorders>
              <w:top w:val="single" w:sz="6" w:space="0" w:color="DDDDDD"/>
            </w:tcBorders>
            <w:tcMar>
              <w:top w:w="90" w:type="dxa"/>
              <w:left w:w="0" w:type="dxa"/>
              <w:bottom w:w="90" w:type="dxa"/>
              <w:right w:w="150" w:type="dxa"/>
            </w:tcMar>
            <w:vAlign w:val="center"/>
            <w:hideMark/>
          </w:tcPr>
          <w:p w14:paraId="7FDA0C02"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Population:</w:t>
            </w:r>
          </w:p>
        </w:tc>
        <w:tc>
          <w:tcPr>
            <w:tcW w:w="4202" w:type="pct"/>
            <w:tcBorders>
              <w:top w:val="single" w:sz="6" w:space="0" w:color="DDDDDD"/>
            </w:tcBorders>
            <w:tcMar>
              <w:top w:w="90" w:type="dxa"/>
              <w:left w:w="0" w:type="dxa"/>
              <w:bottom w:w="90" w:type="dxa"/>
              <w:right w:w="150" w:type="dxa"/>
            </w:tcMar>
            <w:vAlign w:val="center"/>
            <w:hideMark/>
          </w:tcPr>
          <w:p w14:paraId="6B0BA5C8"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Program participants</w:t>
            </w:r>
          </w:p>
        </w:tc>
      </w:tr>
      <w:tr w:rsidR="004807A6" w:rsidRPr="008316C2" w14:paraId="75C05F98" w14:textId="77777777" w:rsidTr="006C6F3E">
        <w:trPr>
          <w:trHeight w:val="654"/>
          <w:tblCellSpacing w:w="15" w:type="dxa"/>
        </w:trPr>
        <w:tc>
          <w:tcPr>
            <w:tcW w:w="750" w:type="pct"/>
            <w:tcBorders>
              <w:top w:val="single" w:sz="6" w:space="0" w:color="DDDDDD"/>
            </w:tcBorders>
            <w:tcMar>
              <w:top w:w="90" w:type="dxa"/>
              <w:left w:w="0" w:type="dxa"/>
              <w:bottom w:w="90" w:type="dxa"/>
              <w:right w:w="150" w:type="dxa"/>
            </w:tcMar>
            <w:vAlign w:val="center"/>
            <w:hideMark/>
          </w:tcPr>
          <w:p w14:paraId="15BB6648"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Threshold:</w:t>
            </w:r>
          </w:p>
        </w:tc>
        <w:tc>
          <w:tcPr>
            <w:tcW w:w="4202" w:type="pct"/>
            <w:tcBorders>
              <w:top w:val="single" w:sz="6" w:space="0" w:color="DDDDDD"/>
            </w:tcBorders>
            <w:tcMar>
              <w:top w:w="90" w:type="dxa"/>
              <w:left w:w="0" w:type="dxa"/>
              <w:bottom w:w="90" w:type="dxa"/>
              <w:right w:w="150" w:type="dxa"/>
            </w:tcMar>
            <w:vAlign w:val="center"/>
            <w:hideMark/>
          </w:tcPr>
          <w:p w14:paraId="514F997E" w14:textId="77777777" w:rsidR="004807A6" w:rsidRPr="008316C2" w:rsidRDefault="004807A6" w:rsidP="006C6F3E">
            <w:pPr>
              <w:widowControl/>
              <w:spacing w:after="390"/>
              <w:rPr>
                <w:rFonts w:ascii="Arial" w:eastAsia="Times New Roman" w:hAnsi="Arial" w:cs="Arial"/>
                <w:color w:val="373737"/>
                <w:sz w:val="23"/>
                <w:szCs w:val="23"/>
              </w:rPr>
            </w:pPr>
            <w:r w:rsidRPr="008316C2">
              <w:rPr>
                <w:rFonts w:ascii="Arial" w:eastAsia="Times New Roman" w:hAnsi="Arial" w:cs="Arial"/>
                <w:color w:val="373737"/>
                <w:sz w:val="23"/>
                <w:szCs w:val="23"/>
              </w:rPr>
              <w:t>Do graduate (yes/no)</w:t>
            </w:r>
          </w:p>
        </w:tc>
      </w:tr>
    </w:tbl>
    <w:p w14:paraId="70204ED7" w14:textId="77777777" w:rsidR="004807A6" w:rsidRDefault="004807A6" w:rsidP="004807A6">
      <w:pPr>
        <w:rPr>
          <w:rFonts w:ascii="Times New Roman" w:eastAsia="Times New Roman" w:hAnsi="Times New Roman" w:cs="Times New Roman"/>
          <w:b/>
          <w:sz w:val="20"/>
          <w:szCs w:val="20"/>
        </w:rPr>
      </w:pPr>
    </w:p>
    <w:p w14:paraId="227D7B6E" w14:textId="77777777" w:rsidR="004807A6" w:rsidRPr="008316C2" w:rsidRDefault="004807A6" w:rsidP="004807A6">
      <w:pPr>
        <w:widowControl/>
        <w:shd w:val="clear" w:color="auto" w:fill="FFFFFF"/>
        <w:spacing w:before="100" w:beforeAutospacing="1" w:after="100" w:afterAutospacing="1" w:line="360" w:lineRule="atLeast"/>
        <w:outlineLvl w:val="0"/>
        <w:rPr>
          <w:rFonts w:ascii="Arial" w:eastAsia="Times New Roman" w:hAnsi="Arial" w:cs="Arial"/>
          <w:b/>
          <w:bCs/>
          <w:color w:val="99ACBA"/>
          <w:kern w:val="36"/>
          <w:sz w:val="39"/>
          <w:szCs w:val="39"/>
        </w:rPr>
      </w:pPr>
      <w:r w:rsidRPr="008316C2">
        <w:rPr>
          <w:rFonts w:ascii="Arial" w:eastAsia="Times New Roman" w:hAnsi="Arial" w:cs="Arial"/>
          <w:b/>
          <w:bCs/>
          <w:color w:val="99ACBA"/>
          <w:kern w:val="36"/>
          <w:sz w:val="39"/>
          <w:szCs w:val="39"/>
        </w:rPr>
        <w:t>Identifying interventions</w:t>
      </w:r>
    </w:p>
    <w:p w14:paraId="42F4DF09"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color w:val="373737"/>
          <w:sz w:val="23"/>
          <w:szCs w:val="23"/>
        </w:rPr>
        <w:t>After laying out the near complete change framework, we now focus on the role of interventions (those things that the program (or initiative) must do to bring about outcomes).</w:t>
      </w:r>
    </w:p>
    <w:p w14:paraId="471D3F53"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i/>
          <w:iCs/>
          <w:color w:val="373737"/>
          <w:sz w:val="23"/>
          <w:szCs w:val="23"/>
        </w:rPr>
        <w:lastRenderedPageBreak/>
        <w:t>Interventions</w:t>
      </w:r>
    </w:p>
    <w:p w14:paraId="481331F0"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color w:val="373737"/>
          <w:sz w:val="23"/>
          <w:szCs w:val="23"/>
        </w:rPr>
        <w:t>At this stage, note that some arrows have solid lines while others are dashed. The solid lines represent connections that will occur without the need for intervention. As long as the prior preconditions are met, these outcomes will be met. We represent interventions, an initiative’s program activities, as arrows with dashed lines for three reasons:</w:t>
      </w:r>
    </w:p>
    <w:p w14:paraId="236F9569" w14:textId="77777777" w:rsidR="004807A6" w:rsidRPr="008316C2" w:rsidRDefault="004807A6" w:rsidP="004807A6">
      <w:pPr>
        <w:widowControl/>
        <w:numPr>
          <w:ilvl w:val="0"/>
          <w:numId w:val="2"/>
        </w:numPr>
        <w:shd w:val="clear" w:color="auto" w:fill="FFFFFF"/>
        <w:spacing w:before="100" w:beforeAutospacing="1" w:after="100" w:afterAutospacing="1"/>
        <w:ind w:left="607"/>
        <w:rPr>
          <w:rFonts w:ascii="Arial" w:eastAsia="Times New Roman" w:hAnsi="Arial" w:cs="Arial"/>
          <w:color w:val="373737"/>
          <w:sz w:val="23"/>
          <w:szCs w:val="23"/>
        </w:rPr>
      </w:pPr>
      <w:r w:rsidRPr="008316C2">
        <w:rPr>
          <w:rFonts w:ascii="Arial" w:eastAsia="Times New Roman" w:hAnsi="Arial" w:cs="Arial"/>
          <w:color w:val="373737"/>
          <w:sz w:val="23"/>
          <w:szCs w:val="23"/>
        </w:rPr>
        <w:t>We believe the outcomes those arrows lead to will not occur at a sufficient level without an intervention.</w:t>
      </w:r>
    </w:p>
    <w:p w14:paraId="0AC3B317" w14:textId="77777777" w:rsidR="004807A6" w:rsidRPr="008316C2" w:rsidRDefault="004807A6" w:rsidP="004807A6">
      <w:pPr>
        <w:widowControl/>
        <w:numPr>
          <w:ilvl w:val="0"/>
          <w:numId w:val="2"/>
        </w:numPr>
        <w:shd w:val="clear" w:color="auto" w:fill="FFFFFF"/>
        <w:spacing w:before="100" w:beforeAutospacing="1" w:after="100" w:afterAutospacing="1"/>
        <w:ind w:left="607"/>
        <w:rPr>
          <w:rFonts w:ascii="Arial" w:eastAsia="Times New Roman" w:hAnsi="Arial" w:cs="Arial"/>
          <w:color w:val="373737"/>
          <w:sz w:val="23"/>
          <w:szCs w:val="23"/>
        </w:rPr>
      </w:pPr>
      <w:r w:rsidRPr="008316C2">
        <w:rPr>
          <w:rFonts w:ascii="Arial" w:eastAsia="Times New Roman" w:hAnsi="Arial" w:cs="Arial"/>
          <w:color w:val="373737"/>
          <w:sz w:val="23"/>
          <w:szCs w:val="23"/>
        </w:rPr>
        <w:t>They represent actions by the initiative and thus something that the initiative is responsible for</w:t>
      </w:r>
    </w:p>
    <w:p w14:paraId="10BA39F2" w14:textId="77777777" w:rsidR="004807A6" w:rsidRPr="008316C2" w:rsidRDefault="004807A6" w:rsidP="004807A6">
      <w:pPr>
        <w:widowControl/>
        <w:numPr>
          <w:ilvl w:val="0"/>
          <w:numId w:val="2"/>
        </w:numPr>
        <w:shd w:val="clear" w:color="auto" w:fill="FFFFFF"/>
        <w:spacing w:before="100" w:beforeAutospacing="1" w:after="100" w:afterAutospacing="1"/>
        <w:ind w:left="607"/>
        <w:rPr>
          <w:rFonts w:ascii="Arial" w:eastAsia="Times New Roman" w:hAnsi="Arial" w:cs="Arial"/>
          <w:color w:val="373737"/>
          <w:sz w:val="23"/>
          <w:szCs w:val="23"/>
        </w:rPr>
      </w:pPr>
      <w:r w:rsidRPr="008316C2">
        <w:rPr>
          <w:rFonts w:ascii="Arial" w:eastAsia="Times New Roman" w:hAnsi="Arial" w:cs="Arial"/>
          <w:color w:val="373737"/>
          <w:sz w:val="23"/>
          <w:szCs w:val="23"/>
        </w:rPr>
        <w:t>Because these outcomes are control variables, they need to be measured to evaluate the interventions’ effectiveness.</w:t>
      </w:r>
    </w:p>
    <w:p w14:paraId="534DC26B"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color w:val="373737"/>
          <w:sz w:val="23"/>
          <w:szCs w:val="23"/>
        </w:rPr>
        <w:t>By identifying interventions, the stakeholders explain how their work is going to change the community. Until this point, the change framework has been like a gumbo recipe without directions, a literal listing of intermediate ingredients—roux, shrimp, onions, okra, etc. But until this point our “recipe” hasn’t explained explain how these components are used and put together, i.e., how to make roux by browning flour in hot oil; when to add the shrimp (previously peeled and cleaned), etc. The interventions explain what the stakeholders are going to do to achieve their desired outcomes. Hence the first intervention (1), an outreach campaign, is of course necessary to publicize the program. While this example seems obvious, the point is again to be clear about what the stakeholders expect the initiative to do—something that is often taken for granted, but never clearly or consistently expressed.</w:t>
      </w:r>
    </w:p>
    <w:p w14:paraId="692863FA"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color w:val="373737"/>
          <w:sz w:val="23"/>
          <w:szCs w:val="23"/>
        </w:rPr>
        <w:t>We also identify each intervention with boxed numbers. Often a dashed interventions arrow will have multiple boxes because the outcome requires multiple activities for it to happen.</w:t>
      </w:r>
    </w:p>
    <w:p w14:paraId="4D90573E"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i/>
          <w:iCs/>
          <w:color w:val="373737"/>
          <w:sz w:val="23"/>
          <w:szCs w:val="23"/>
        </w:rPr>
        <w:t>Spot Checking</w:t>
      </w:r>
    </w:p>
    <w:p w14:paraId="356FD52B" w14:textId="77777777" w:rsidR="004807A6" w:rsidRPr="008316C2" w:rsidRDefault="004807A6" w:rsidP="004807A6">
      <w:pPr>
        <w:widowControl/>
        <w:shd w:val="clear" w:color="auto" w:fill="FFFFFF"/>
        <w:spacing w:before="100" w:beforeAutospacing="1" w:after="390"/>
        <w:rPr>
          <w:rFonts w:ascii="Arial" w:eastAsia="Times New Roman" w:hAnsi="Arial" w:cs="Arial"/>
          <w:color w:val="373737"/>
          <w:sz w:val="23"/>
          <w:szCs w:val="23"/>
        </w:rPr>
      </w:pPr>
      <w:r w:rsidRPr="008316C2">
        <w:rPr>
          <w:rFonts w:ascii="Arial" w:eastAsia="Times New Roman" w:hAnsi="Arial" w:cs="Arial"/>
          <w:color w:val="373737"/>
          <w:sz w:val="23"/>
          <w:szCs w:val="23"/>
        </w:rPr>
        <w:t>At every stage of the TOC process, there is a need for stakeholders to question whether new revelations reveal an inconsistency in their logic: Does specifying interventions highlight an important gap in the outcomes framework? Do any of the assumptions suggest an additional change pathway (with additional early and intermediate outcomes)? Stakeholders should ask themselves if what they are creating “makes sense” by thinking about whether their map reflects a plausible theory, and whether the set of interventions are actually feasible for them to implement, given the resources they have at their disposal.</w:t>
      </w:r>
    </w:p>
    <w:p w14:paraId="1E519ED3" w14:textId="77777777" w:rsidR="00A24359" w:rsidRDefault="00A24359"/>
    <w:sectPr w:rsidR="00A24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21229"/>
    <w:multiLevelType w:val="multilevel"/>
    <w:tmpl w:val="CBDA1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62FD6"/>
    <w:multiLevelType w:val="multilevel"/>
    <w:tmpl w:val="BEA69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A6"/>
    <w:rsid w:val="000000BD"/>
    <w:rsid w:val="00000834"/>
    <w:rsid w:val="00006DD6"/>
    <w:rsid w:val="00007F52"/>
    <w:rsid w:val="00010465"/>
    <w:rsid w:val="000126B3"/>
    <w:rsid w:val="00014B1A"/>
    <w:rsid w:val="00017E89"/>
    <w:rsid w:val="00020398"/>
    <w:rsid w:val="000216C3"/>
    <w:rsid w:val="00021D29"/>
    <w:rsid w:val="00024875"/>
    <w:rsid w:val="00024A1E"/>
    <w:rsid w:val="00027313"/>
    <w:rsid w:val="00030CDC"/>
    <w:rsid w:val="00030F0C"/>
    <w:rsid w:val="00031BE5"/>
    <w:rsid w:val="00036B9F"/>
    <w:rsid w:val="00040943"/>
    <w:rsid w:val="000415DA"/>
    <w:rsid w:val="0004479A"/>
    <w:rsid w:val="00045137"/>
    <w:rsid w:val="00047E61"/>
    <w:rsid w:val="00050568"/>
    <w:rsid w:val="00051EF8"/>
    <w:rsid w:val="00054AEF"/>
    <w:rsid w:val="0005561A"/>
    <w:rsid w:val="0005631C"/>
    <w:rsid w:val="000579F0"/>
    <w:rsid w:val="00057E93"/>
    <w:rsid w:val="00061BC5"/>
    <w:rsid w:val="0006211C"/>
    <w:rsid w:val="000641B4"/>
    <w:rsid w:val="00070B67"/>
    <w:rsid w:val="000725DA"/>
    <w:rsid w:val="00073DD3"/>
    <w:rsid w:val="00074424"/>
    <w:rsid w:val="00074F8C"/>
    <w:rsid w:val="00075008"/>
    <w:rsid w:val="00075772"/>
    <w:rsid w:val="0007596C"/>
    <w:rsid w:val="00080901"/>
    <w:rsid w:val="00080B8E"/>
    <w:rsid w:val="00080D3B"/>
    <w:rsid w:val="00081C18"/>
    <w:rsid w:val="00082D46"/>
    <w:rsid w:val="00082ED5"/>
    <w:rsid w:val="0008407D"/>
    <w:rsid w:val="0008695A"/>
    <w:rsid w:val="00087207"/>
    <w:rsid w:val="0009020D"/>
    <w:rsid w:val="00090CB0"/>
    <w:rsid w:val="00091742"/>
    <w:rsid w:val="00091F58"/>
    <w:rsid w:val="00092A9E"/>
    <w:rsid w:val="00092B9C"/>
    <w:rsid w:val="00093810"/>
    <w:rsid w:val="00094291"/>
    <w:rsid w:val="0009511F"/>
    <w:rsid w:val="000A222E"/>
    <w:rsid w:val="000A437C"/>
    <w:rsid w:val="000A6332"/>
    <w:rsid w:val="000A6350"/>
    <w:rsid w:val="000A7209"/>
    <w:rsid w:val="000A7823"/>
    <w:rsid w:val="000A79D3"/>
    <w:rsid w:val="000A7DA5"/>
    <w:rsid w:val="000B0030"/>
    <w:rsid w:val="000B0040"/>
    <w:rsid w:val="000B00C4"/>
    <w:rsid w:val="000B22A4"/>
    <w:rsid w:val="000B2448"/>
    <w:rsid w:val="000B36EA"/>
    <w:rsid w:val="000B5AF5"/>
    <w:rsid w:val="000B7D93"/>
    <w:rsid w:val="000C05D4"/>
    <w:rsid w:val="000C1359"/>
    <w:rsid w:val="000C2802"/>
    <w:rsid w:val="000C58CE"/>
    <w:rsid w:val="000C7FE4"/>
    <w:rsid w:val="000D0A45"/>
    <w:rsid w:val="000D1CB1"/>
    <w:rsid w:val="000D1EA3"/>
    <w:rsid w:val="000D463F"/>
    <w:rsid w:val="000D4B3B"/>
    <w:rsid w:val="000D60CD"/>
    <w:rsid w:val="000D7050"/>
    <w:rsid w:val="000D7942"/>
    <w:rsid w:val="000D7C01"/>
    <w:rsid w:val="000D7E24"/>
    <w:rsid w:val="000E03A8"/>
    <w:rsid w:val="000E0CC3"/>
    <w:rsid w:val="000E0D23"/>
    <w:rsid w:val="000E16E0"/>
    <w:rsid w:val="000E3AEF"/>
    <w:rsid w:val="000E44CF"/>
    <w:rsid w:val="000E5D87"/>
    <w:rsid w:val="000E6789"/>
    <w:rsid w:val="000E6F06"/>
    <w:rsid w:val="000E7A75"/>
    <w:rsid w:val="000F041E"/>
    <w:rsid w:val="000F2BCF"/>
    <w:rsid w:val="000F3584"/>
    <w:rsid w:val="000F3838"/>
    <w:rsid w:val="000F3A1D"/>
    <w:rsid w:val="000F58CE"/>
    <w:rsid w:val="000F64EC"/>
    <w:rsid w:val="00100709"/>
    <w:rsid w:val="0010073E"/>
    <w:rsid w:val="00103333"/>
    <w:rsid w:val="00104587"/>
    <w:rsid w:val="00106170"/>
    <w:rsid w:val="001072AF"/>
    <w:rsid w:val="00107C72"/>
    <w:rsid w:val="00110BF2"/>
    <w:rsid w:val="00113627"/>
    <w:rsid w:val="00113F04"/>
    <w:rsid w:val="0011556F"/>
    <w:rsid w:val="001169AF"/>
    <w:rsid w:val="00121B2C"/>
    <w:rsid w:val="001222EB"/>
    <w:rsid w:val="00123F8F"/>
    <w:rsid w:val="00124573"/>
    <w:rsid w:val="0012543C"/>
    <w:rsid w:val="001264C6"/>
    <w:rsid w:val="00127CF6"/>
    <w:rsid w:val="00130039"/>
    <w:rsid w:val="00132F85"/>
    <w:rsid w:val="00133B85"/>
    <w:rsid w:val="00134ED5"/>
    <w:rsid w:val="001367D8"/>
    <w:rsid w:val="00137A69"/>
    <w:rsid w:val="001439D9"/>
    <w:rsid w:val="00144446"/>
    <w:rsid w:val="00144C9D"/>
    <w:rsid w:val="00150A4C"/>
    <w:rsid w:val="0015220A"/>
    <w:rsid w:val="0015284B"/>
    <w:rsid w:val="00153F51"/>
    <w:rsid w:val="00154261"/>
    <w:rsid w:val="00154287"/>
    <w:rsid w:val="00155246"/>
    <w:rsid w:val="0015571D"/>
    <w:rsid w:val="00156AA7"/>
    <w:rsid w:val="001616E2"/>
    <w:rsid w:val="00161EB9"/>
    <w:rsid w:val="00163270"/>
    <w:rsid w:val="00163B12"/>
    <w:rsid w:val="00164EF6"/>
    <w:rsid w:val="00165F87"/>
    <w:rsid w:val="001710C9"/>
    <w:rsid w:val="0017165F"/>
    <w:rsid w:val="00172153"/>
    <w:rsid w:val="0017255F"/>
    <w:rsid w:val="00172632"/>
    <w:rsid w:val="001729FD"/>
    <w:rsid w:val="00174999"/>
    <w:rsid w:val="0018080E"/>
    <w:rsid w:val="00180E3C"/>
    <w:rsid w:val="00181A1B"/>
    <w:rsid w:val="00182249"/>
    <w:rsid w:val="00182587"/>
    <w:rsid w:val="00182F9F"/>
    <w:rsid w:val="00183249"/>
    <w:rsid w:val="00185ADC"/>
    <w:rsid w:val="001863D3"/>
    <w:rsid w:val="00186BCC"/>
    <w:rsid w:val="0018726E"/>
    <w:rsid w:val="00187ADD"/>
    <w:rsid w:val="001901C9"/>
    <w:rsid w:val="00190441"/>
    <w:rsid w:val="0019164E"/>
    <w:rsid w:val="00191A06"/>
    <w:rsid w:val="0019598A"/>
    <w:rsid w:val="00196042"/>
    <w:rsid w:val="001968C2"/>
    <w:rsid w:val="00197F6F"/>
    <w:rsid w:val="001A1688"/>
    <w:rsid w:val="001A22F5"/>
    <w:rsid w:val="001A3CC6"/>
    <w:rsid w:val="001A48D0"/>
    <w:rsid w:val="001A4B24"/>
    <w:rsid w:val="001A5350"/>
    <w:rsid w:val="001A5D87"/>
    <w:rsid w:val="001A6F3E"/>
    <w:rsid w:val="001B14F2"/>
    <w:rsid w:val="001B1905"/>
    <w:rsid w:val="001B1F21"/>
    <w:rsid w:val="001B3FAA"/>
    <w:rsid w:val="001B484D"/>
    <w:rsid w:val="001B7AAA"/>
    <w:rsid w:val="001C4EC8"/>
    <w:rsid w:val="001C7741"/>
    <w:rsid w:val="001C7C0E"/>
    <w:rsid w:val="001C7ED4"/>
    <w:rsid w:val="001D287D"/>
    <w:rsid w:val="001D3480"/>
    <w:rsid w:val="001D3C91"/>
    <w:rsid w:val="001D42DF"/>
    <w:rsid w:val="001D6DEA"/>
    <w:rsid w:val="001E067D"/>
    <w:rsid w:val="001E252B"/>
    <w:rsid w:val="001E25BC"/>
    <w:rsid w:val="001E25CE"/>
    <w:rsid w:val="001E3311"/>
    <w:rsid w:val="001E4B59"/>
    <w:rsid w:val="001E622F"/>
    <w:rsid w:val="001F0A7F"/>
    <w:rsid w:val="001F10CD"/>
    <w:rsid w:val="001F15F3"/>
    <w:rsid w:val="001F29E2"/>
    <w:rsid w:val="001F306B"/>
    <w:rsid w:val="001F5A0D"/>
    <w:rsid w:val="0020105E"/>
    <w:rsid w:val="00201792"/>
    <w:rsid w:val="00202513"/>
    <w:rsid w:val="0020346E"/>
    <w:rsid w:val="00203777"/>
    <w:rsid w:val="00204058"/>
    <w:rsid w:val="002041DF"/>
    <w:rsid w:val="00204C66"/>
    <w:rsid w:val="002076E3"/>
    <w:rsid w:val="00207E9E"/>
    <w:rsid w:val="00210129"/>
    <w:rsid w:val="00215077"/>
    <w:rsid w:val="00216774"/>
    <w:rsid w:val="002174EC"/>
    <w:rsid w:val="00220E34"/>
    <w:rsid w:val="002215B8"/>
    <w:rsid w:val="00222637"/>
    <w:rsid w:val="002245B8"/>
    <w:rsid w:val="002246CF"/>
    <w:rsid w:val="00225F05"/>
    <w:rsid w:val="0023074F"/>
    <w:rsid w:val="0023157C"/>
    <w:rsid w:val="002342AF"/>
    <w:rsid w:val="0023563F"/>
    <w:rsid w:val="002366C8"/>
    <w:rsid w:val="0024150E"/>
    <w:rsid w:val="00242B2A"/>
    <w:rsid w:val="00245CD0"/>
    <w:rsid w:val="00247274"/>
    <w:rsid w:val="00250282"/>
    <w:rsid w:val="00251808"/>
    <w:rsid w:val="002529EF"/>
    <w:rsid w:val="002608BA"/>
    <w:rsid w:val="00261299"/>
    <w:rsid w:val="00261DB8"/>
    <w:rsid w:val="00264476"/>
    <w:rsid w:val="00266537"/>
    <w:rsid w:val="00267635"/>
    <w:rsid w:val="0027177F"/>
    <w:rsid w:val="00272162"/>
    <w:rsid w:val="00273894"/>
    <w:rsid w:val="00273B44"/>
    <w:rsid w:val="00274852"/>
    <w:rsid w:val="00277465"/>
    <w:rsid w:val="002779C9"/>
    <w:rsid w:val="002779D9"/>
    <w:rsid w:val="00282C6C"/>
    <w:rsid w:val="002918E6"/>
    <w:rsid w:val="00292311"/>
    <w:rsid w:val="00292BDB"/>
    <w:rsid w:val="00292CA1"/>
    <w:rsid w:val="0029656B"/>
    <w:rsid w:val="002A1DA9"/>
    <w:rsid w:val="002A1F3A"/>
    <w:rsid w:val="002A3353"/>
    <w:rsid w:val="002A486F"/>
    <w:rsid w:val="002A5677"/>
    <w:rsid w:val="002A760A"/>
    <w:rsid w:val="002B0D57"/>
    <w:rsid w:val="002B4421"/>
    <w:rsid w:val="002B4516"/>
    <w:rsid w:val="002B4FC5"/>
    <w:rsid w:val="002B7085"/>
    <w:rsid w:val="002B72EE"/>
    <w:rsid w:val="002C4C4A"/>
    <w:rsid w:val="002C6E9F"/>
    <w:rsid w:val="002C7EE0"/>
    <w:rsid w:val="002D12FD"/>
    <w:rsid w:val="002D1903"/>
    <w:rsid w:val="002D23D2"/>
    <w:rsid w:val="002D27D9"/>
    <w:rsid w:val="002D3A8C"/>
    <w:rsid w:val="002D516D"/>
    <w:rsid w:val="002E1F22"/>
    <w:rsid w:val="002E2D79"/>
    <w:rsid w:val="002E3ECD"/>
    <w:rsid w:val="002E5971"/>
    <w:rsid w:val="002E6A67"/>
    <w:rsid w:val="002E6F48"/>
    <w:rsid w:val="002E7682"/>
    <w:rsid w:val="002E76ED"/>
    <w:rsid w:val="002F0CE9"/>
    <w:rsid w:val="002F1CB8"/>
    <w:rsid w:val="002F3500"/>
    <w:rsid w:val="002F3CC1"/>
    <w:rsid w:val="002F414B"/>
    <w:rsid w:val="002F5AD4"/>
    <w:rsid w:val="002F70FC"/>
    <w:rsid w:val="003006AD"/>
    <w:rsid w:val="003013ED"/>
    <w:rsid w:val="0030145D"/>
    <w:rsid w:val="003016CA"/>
    <w:rsid w:val="0030174D"/>
    <w:rsid w:val="00301D8B"/>
    <w:rsid w:val="00302840"/>
    <w:rsid w:val="00303452"/>
    <w:rsid w:val="00303B11"/>
    <w:rsid w:val="003079E8"/>
    <w:rsid w:val="00307A6E"/>
    <w:rsid w:val="0031098C"/>
    <w:rsid w:val="00311321"/>
    <w:rsid w:val="00312290"/>
    <w:rsid w:val="00312AE1"/>
    <w:rsid w:val="0031344C"/>
    <w:rsid w:val="00316813"/>
    <w:rsid w:val="00317B02"/>
    <w:rsid w:val="00320128"/>
    <w:rsid w:val="00320479"/>
    <w:rsid w:val="00320B52"/>
    <w:rsid w:val="00321324"/>
    <w:rsid w:val="0032363C"/>
    <w:rsid w:val="00325E48"/>
    <w:rsid w:val="003261BB"/>
    <w:rsid w:val="00327AC9"/>
    <w:rsid w:val="00327B51"/>
    <w:rsid w:val="0033065A"/>
    <w:rsid w:val="0033345A"/>
    <w:rsid w:val="0033691F"/>
    <w:rsid w:val="00340E17"/>
    <w:rsid w:val="003410F0"/>
    <w:rsid w:val="003413B0"/>
    <w:rsid w:val="00342A63"/>
    <w:rsid w:val="003468B6"/>
    <w:rsid w:val="00346F9F"/>
    <w:rsid w:val="00347729"/>
    <w:rsid w:val="00347CAE"/>
    <w:rsid w:val="00347F68"/>
    <w:rsid w:val="0035024E"/>
    <w:rsid w:val="00351197"/>
    <w:rsid w:val="003520B7"/>
    <w:rsid w:val="00353140"/>
    <w:rsid w:val="00356EBF"/>
    <w:rsid w:val="00361616"/>
    <w:rsid w:val="003654D5"/>
    <w:rsid w:val="00370294"/>
    <w:rsid w:val="00370C52"/>
    <w:rsid w:val="00372932"/>
    <w:rsid w:val="003732C6"/>
    <w:rsid w:val="00373339"/>
    <w:rsid w:val="00373D7E"/>
    <w:rsid w:val="00374866"/>
    <w:rsid w:val="00374DD4"/>
    <w:rsid w:val="0037570D"/>
    <w:rsid w:val="00375AD8"/>
    <w:rsid w:val="00377698"/>
    <w:rsid w:val="00377CAB"/>
    <w:rsid w:val="003812B9"/>
    <w:rsid w:val="00381C43"/>
    <w:rsid w:val="00385798"/>
    <w:rsid w:val="00387131"/>
    <w:rsid w:val="00390553"/>
    <w:rsid w:val="00391443"/>
    <w:rsid w:val="00391584"/>
    <w:rsid w:val="003916B3"/>
    <w:rsid w:val="00391975"/>
    <w:rsid w:val="0039293C"/>
    <w:rsid w:val="003933A3"/>
    <w:rsid w:val="0039483C"/>
    <w:rsid w:val="0039634F"/>
    <w:rsid w:val="00396858"/>
    <w:rsid w:val="003A30AE"/>
    <w:rsid w:val="003A34F2"/>
    <w:rsid w:val="003A4D1C"/>
    <w:rsid w:val="003A5B23"/>
    <w:rsid w:val="003A7958"/>
    <w:rsid w:val="003B0CB0"/>
    <w:rsid w:val="003B4190"/>
    <w:rsid w:val="003B592D"/>
    <w:rsid w:val="003B5E38"/>
    <w:rsid w:val="003B665F"/>
    <w:rsid w:val="003B6C85"/>
    <w:rsid w:val="003B6CA3"/>
    <w:rsid w:val="003C0B5B"/>
    <w:rsid w:val="003C48FA"/>
    <w:rsid w:val="003C57EA"/>
    <w:rsid w:val="003C7A30"/>
    <w:rsid w:val="003C7C23"/>
    <w:rsid w:val="003D15A3"/>
    <w:rsid w:val="003D1703"/>
    <w:rsid w:val="003D19D0"/>
    <w:rsid w:val="003D23FC"/>
    <w:rsid w:val="003D3435"/>
    <w:rsid w:val="003D4511"/>
    <w:rsid w:val="003D47D0"/>
    <w:rsid w:val="003D5096"/>
    <w:rsid w:val="003D56E9"/>
    <w:rsid w:val="003D57EE"/>
    <w:rsid w:val="003D6022"/>
    <w:rsid w:val="003D73D6"/>
    <w:rsid w:val="003E0A88"/>
    <w:rsid w:val="003E14DB"/>
    <w:rsid w:val="003E4366"/>
    <w:rsid w:val="003E53EE"/>
    <w:rsid w:val="003E5892"/>
    <w:rsid w:val="003E6903"/>
    <w:rsid w:val="003E6E64"/>
    <w:rsid w:val="003F03C0"/>
    <w:rsid w:val="003F2B8B"/>
    <w:rsid w:val="003F3766"/>
    <w:rsid w:val="003F4AC3"/>
    <w:rsid w:val="003F710A"/>
    <w:rsid w:val="003F7593"/>
    <w:rsid w:val="003F7FDD"/>
    <w:rsid w:val="004011B6"/>
    <w:rsid w:val="00402B81"/>
    <w:rsid w:val="00402BC9"/>
    <w:rsid w:val="00403FEF"/>
    <w:rsid w:val="00404323"/>
    <w:rsid w:val="00404B77"/>
    <w:rsid w:val="00410183"/>
    <w:rsid w:val="00410423"/>
    <w:rsid w:val="004107DB"/>
    <w:rsid w:val="004126EF"/>
    <w:rsid w:val="004135F7"/>
    <w:rsid w:val="00413C2A"/>
    <w:rsid w:val="00414180"/>
    <w:rsid w:val="00414D5F"/>
    <w:rsid w:val="00415D25"/>
    <w:rsid w:val="00417B53"/>
    <w:rsid w:val="004200F9"/>
    <w:rsid w:val="00420772"/>
    <w:rsid w:val="00421410"/>
    <w:rsid w:val="00421B98"/>
    <w:rsid w:val="00422C24"/>
    <w:rsid w:val="00423499"/>
    <w:rsid w:val="00423C23"/>
    <w:rsid w:val="0042567C"/>
    <w:rsid w:val="0042614B"/>
    <w:rsid w:val="00430CAC"/>
    <w:rsid w:val="00431180"/>
    <w:rsid w:val="00431D26"/>
    <w:rsid w:val="00433152"/>
    <w:rsid w:val="00437943"/>
    <w:rsid w:val="00442325"/>
    <w:rsid w:val="00443599"/>
    <w:rsid w:val="0044581B"/>
    <w:rsid w:val="0044782D"/>
    <w:rsid w:val="00447983"/>
    <w:rsid w:val="004479C7"/>
    <w:rsid w:val="00451C3C"/>
    <w:rsid w:val="00452F9C"/>
    <w:rsid w:val="00453478"/>
    <w:rsid w:val="00454437"/>
    <w:rsid w:val="00456F03"/>
    <w:rsid w:val="0045723B"/>
    <w:rsid w:val="00457CAC"/>
    <w:rsid w:val="0046004B"/>
    <w:rsid w:val="00460236"/>
    <w:rsid w:val="00460CAF"/>
    <w:rsid w:val="00461477"/>
    <w:rsid w:val="0046173A"/>
    <w:rsid w:val="00462FF2"/>
    <w:rsid w:val="0046424B"/>
    <w:rsid w:val="004661B0"/>
    <w:rsid w:val="00472593"/>
    <w:rsid w:val="004731B9"/>
    <w:rsid w:val="00473237"/>
    <w:rsid w:val="00474213"/>
    <w:rsid w:val="004778F9"/>
    <w:rsid w:val="004807A6"/>
    <w:rsid w:val="00482605"/>
    <w:rsid w:val="00484967"/>
    <w:rsid w:val="004872C1"/>
    <w:rsid w:val="00487952"/>
    <w:rsid w:val="00487E49"/>
    <w:rsid w:val="00491E12"/>
    <w:rsid w:val="0049338A"/>
    <w:rsid w:val="004955D5"/>
    <w:rsid w:val="004959A1"/>
    <w:rsid w:val="004970E5"/>
    <w:rsid w:val="004A0DE9"/>
    <w:rsid w:val="004A13F2"/>
    <w:rsid w:val="004A1CF2"/>
    <w:rsid w:val="004A392A"/>
    <w:rsid w:val="004A3C84"/>
    <w:rsid w:val="004A402F"/>
    <w:rsid w:val="004A5529"/>
    <w:rsid w:val="004A5601"/>
    <w:rsid w:val="004A6685"/>
    <w:rsid w:val="004A76C4"/>
    <w:rsid w:val="004B25D9"/>
    <w:rsid w:val="004B2801"/>
    <w:rsid w:val="004B39CF"/>
    <w:rsid w:val="004B5B34"/>
    <w:rsid w:val="004B5F81"/>
    <w:rsid w:val="004B77F9"/>
    <w:rsid w:val="004C0840"/>
    <w:rsid w:val="004C0CD4"/>
    <w:rsid w:val="004C3C68"/>
    <w:rsid w:val="004C3EED"/>
    <w:rsid w:val="004C5CFD"/>
    <w:rsid w:val="004C60A4"/>
    <w:rsid w:val="004C64EF"/>
    <w:rsid w:val="004D084A"/>
    <w:rsid w:val="004D0BDB"/>
    <w:rsid w:val="004D1283"/>
    <w:rsid w:val="004D24DD"/>
    <w:rsid w:val="004D33B0"/>
    <w:rsid w:val="004D3426"/>
    <w:rsid w:val="004D3AD4"/>
    <w:rsid w:val="004D5A40"/>
    <w:rsid w:val="004D5E77"/>
    <w:rsid w:val="004D67A1"/>
    <w:rsid w:val="004D79B6"/>
    <w:rsid w:val="004E4904"/>
    <w:rsid w:val="004E5F91"/>
    <w:rsid w:val="004F2A1A"/>
    <w:rsid w:val="004F3B5A"/>
    <w:rsid w:val="004F3C2D"/>
    <w:rsid w:val="004F4D94"/>
    <w:rsid w:val="004F76EC"/>
    <w:rsid w:val="0050179B"/>
    <w:rsid w:val="005017DE"/>
    <w:rsid w:val="00503769"/>
    <w:rsid w:val="005037EF"/>
    <w:rsid w:val="00504651"/>
    <w:rsid w:val="005066ED"/>
    <w:rsid w:val="00506BDE"/>
    <w:rsid w:val="0051338A"/>
    <w:rsid w:val="00514095"/>
    <w:rsid w:val="0051554C"/>
    <w:rsid w:val="005171FF"/>
    <w:rsid w:val="005204E0"/>
    <w:rsid w:val="00520775"/>
    <w:rsid w:val="00520ADB"/>
    <w:rsid w:val="00521527"/>
    <w:rsid w:val="0052530F"/>
    <w:rsid w:val="00525B11"/>
    <w:rsid w:val="00530918"/>
    <w:rsid w:val="005338E6"/>
    <w:rsid w:val="00535E54"/>
    <w:rsid w:val="00540D02"/>
    <w:rsid w:val="00541127"/>
    <w:rsid w:val="00541443"/>
    <w:rsid w:val="0054156E"/>
    <w:rsid w:val="005417AE"/>
    <w:rsid w:val="00541C05"/>
    <w:rsid w:val="00541D38"/>
    <w:rsid w:val="00544636"/>
    <w:rsid w:val="00545F2B"/>
    <w:rsid w:val="00550552"/>
    <w:rsid w:val="0055185A"/>
    <w:rsid w:val="00551A4E"/>
    <w:rsid w:val="00555D5A"/>
    <w:rsid w:val="005571D6"/>
    <w:rsid w:val="00560E95"/>
    <w:rsid w:val="00561A60"/>
    <w:rsid w:val="00562046"/>
    <w:rsid w:val="005638C5"/>
    <w:rsid w:val="00566479"/>
    <w:rsid w:val="00566A65"/>
    <w:rsid w:val="00567A85"/>
    <w:rsid w:val="00567A9C"/>
    <w:rsid w:val="00570FE0"/>
    <w:rsid w:val="0057116A"/>
    <w:rsid w:val="005711BF"/>
    <w:rsid w:val="005722A6"/>
    <w:rsid w:val="00573E64"/>
    <w:rsid w:val="005755CD"/>
    <w:rsid w:val="00575D15"/>
    <w:rsid w:val="0058012C"/>
    <w:rsid w:val="00581BDE"/>
    <w:rsid w:val="00582C00"/>
    <w:rsid w:val="00583BF1"/>
    <w:rsid w:val="00583D51"/>
    <w:rsid w:val="005871C0"/>
    <w:rsid w:val="00587B22"/>
    <w:rsid w:val="00590B38"/>
    <w:rsid w:val="00591DAE"/>
    <w:rsid w:val="005922BF"/>
    <w:rsid w:val="00592D2D"/>
    <w:rsid w:val="005945E1"/>
    <w:rsid w:val="00597B95"/>
    <w:rsid w:val="00597C52"/>
    <w:rsid w:val="005A04B9"/>
    <w:rsid w:val="005A0D1F"/>
    <w:rsid w:val="005A1ACB"/>
    <w:rsid w:val="005A3A26"/>
    <w:rsid w:val="005A3ECF"/>
    <w:rsid w:val="005A47C8"/>
    <w:rsid w:val="005B0385"/>
    <w:rsid w:val="005B05D4"/>
    <w:rsid w:val="005B0954"/>
    <w:rsid w:val="005B1676"/>
    <w:rsid w:val="005B1F4F"/>
    <w:rsid w:val="005B2D03"/>
    <w:rsid w:val="005B302E"/>
    <w:rsid w:val="005B5CE7"/>
    <w:rsid w:val="005B63CD"/>
    <w:rsid w:val="005C1259"/>
    <w:rsid w:val="005C1E07"/>
    <w:rsid w:val="005C29F1"/>
    <w:rsid w:val="005C2BA5"/>
    <w:rsid w:val="005C41CC"/>
    <w:rsid w:val="005C54E7"/>
    <w:rsid w:val="005C6F2D"/>
    <w:rsid w:val="005D0BB6"/>
    <w:rsid w:val="005D0F1D"/>
    <w:rsid w:val="005D36C1"/>
    <w:rsid w:val="005D4981"/>
    <w:rsid w:val="005D6B4F"/>
    <w:rsid w:val="005E10B3"/>
    <w:rsid w:val="005E1EB8"/>
    <w:rsid w:val="005E4007"/>
    <w:rsid w:val="005E466F"/>
    <w:rsid w:val="005E46FC"/>
    <w:rsid w:val="005E52BB"/>
    <w:rsid w:val="005E5A86"/>
    <w:rsid w:val="005F098E"/>
    <w:rsid w:val="005F102A"/>
    <w:rsid w:val="005F1F18"/>
    <w:rsid w:val="005F2BC0"/>
    <w:rsid w:val="005F3B4C"/>
    <w:rsid w:val="005F417D"/>
    <w:rsid w:val="005F4D17"/>
    <w:rsid w:val="005F5E03"/>
    <w:rsid w:val="005F768C"/>
    <w:rsid w:val="00601252"/>
    <w:rsid w:val="006013FB"/>
    <w:rsid w:val="006014CA"/>
    <w:rsid w:val="00601B36"/>
    <w:rsid w:val="006035E9"/>
    <w:rsid w:val="006040DA"/>
    <w:rsid w:val="0060527E"/>
    <w:rsid w:val="00605F95"/>
    <w:rsid w:val="00606AD3"/>
    <w:rsid w:val="0060757C"/>
    <w:rsid w:val="006100B4"/>
    <w:rsid w:val="00610586"/>
    <w:rsid w:val="00611290"/>
    <w:rsid w:val="00611E48"/>
    <w:rsid w:val="00613829"/>
    <w:rsid w:val="00613890"/>
    <w:rsid w:val="00613905"/>
    <w:rsid w:val="00614E34"/>
    <w:rsid w:val="00615936"/>
    <w:rsid w:val="00621B9E"/>
    <w:rsid w:val="00622479"/>
    <w:rsid w:val="006236E9"/>
    <w:rsid w:val="006264D5"/>
    <w:rsid w:val="0062710C"/>
    <w:rsid w:val="00630F1C"/>
    <w:rsid w:val="00631E22"/>
    <w:rsid w:val="0063307B"/>
    <w:rsid w:val="006331EA"/>
    <w:rsid w:val="006356C6"/>
    <w:rsid w:val="0063691E"/>
    <w:rsid w:val="00636BF8"/>
    <w:rsid w:val="006370DD"/>
    <w:rsid w:val="00637269"/>
    <w:rsid w:val="006401AB"/>
    <w:rsid w:val="0064151D"/>
    <w:rsid w:val="006424CC"/>
    <w:rsid w:val="006427E3"/>
    <w:rsid w:val="00645335"/>
    <w:rsid w:val="006458D9"/>
    <w:rsid w:val="0064639F"/>
    <w:rsid w:val="0065002A"/>
    <w:rsid w:val="0065063A"/>
    <w:rsid w:val="00651F66"/>
    <w:rsid w:val="00653C0B"/>
    <w:rsid w:val="006565DB"/>
    <w:rsid w:val="00656AC8"/>
    <w:rsid w:val="0066005B"/>
    <w:rsid w:val="00662AA7"/>
    <w:rsid w:val="00665051"/>
    <w:rsid w:val="00665B7E"/>
    <w:rsid w:val="00665D5A"/>
    <w:rsid w:val="0066650F"/>
    <w:rsid w:val="006668E4"/>
    <w:rsid w:val="006675D6"/>
    <w:rsid w:val="0066791E"/>
    <w:rsid w:val="00670053"/>
    <w:rsid w:val="00672351"/>
    <w:rsid w:val="00674279"/>
    <w:rsid w:val="00680C6B"/>
    <w:rsid w:val="00684FF4"/>
    <w:rsid w:val="00687FB2"/>
    <w:rsid w:val="00690A44"/>
    <w:rsid w:val="00690B54"/>
    <w:rsid w:val="006916DD"/>
    <w:rsid w:val="00692CE9"/>
    <w:rsid w:val="006963A0"/>
    <w:rsid w:val="006A365E"/>
    <w:rsid w:val="006A4B33"/>
    <w:rsid w:val="006A50DA"/>
    <w:rsid w:val="006A6F38"/>
    <w:rsid w:val="006A70B0"/>
    <w:rsid w:val="006B09B0"/>
    <w:rsid w:val="006B11F3"/>
    <w:rsid w:val="006B186C"/>
    <w:rsid w:val="006B4E1A"/>
    <w:rsid w:val="006B51A8"/>
    <w:rsid w:val="006C194A"/>
    <w:rsid w:val="006C2EFF"/>
    <w:rsid w:val="006C3364"/>
    <w:rsid w:val="006C535B"/>
    <w:rsid w:val="006D01A8"/>
    <w:rsid w:val="006D053E"/>
    <w:rsid w:val="006D0683"/>
    <w:rsid w:val="006D07DA"/>
    <w:rsid w:val="006D0FA9"/>
    <w:rsid w:val="006D34CA"/>
    <w:rsid w:val="006D4A73"/>
    <w:rsid w:val="006D533D"/>
    <w:rsid w:val="006D720E"/>
    <w:rsid w:val="006D7827"/>
    <w:rsid w:val="006E1170"/>
    <w:rsid w:val="006E1767"/>
    <w:rsid w:val="006E25B2"/>
    <w:rsid w:val="006E329E"/>
    <w:rsid w:val="006E4D72"/>
    <w:rsid w:val="006F1BF3"/>
    <w:rsid w:val="006F208D"/>
    <w:rsid w:val="006F2E5A"/>
    <w:rsid w:val="006F3EBE"/>
    <w:rsid w:val="006F65C2"/>
    <w:rsid w:val="006F675E"/>
    <w:rsid w:val="006F6CCE"/>
    <w:rsid w:val="006F7750"/>
    <w:rsid w:val="00701E33"/>
    <w:rsid w:val="007030C4"/>
    <w:rsid w:val="007036A8"/>
    <w:rsid w:val="00704485"/>
    <w:rsid w:val="0071000C"/>
    <w:rsid w:val="007107C8"/>
    <w:rsid w:val="007110B5"/>
    <w:rsid w:val="0071154A"/>
    <w:rsid w:val="0071156A"/>
    <w:rsid w:val="007139B6"/>
    <w:rsid w:val="00714836"/>
    <w:rsid w:val="00721E16"/>
    <w:rsid w:val="0072530C"/>
    <w:rsid w:val="007261FD"/>
    <w:rsid w:val="00726677"/>
    <w:rsid w:val="00726D93"/>
    <w:rsid w:val="00730993"/>
    <w:rsid w:val="00730FBF"/>
    <w:rsid w:val="00732B9D"/>
    <w:rsid w:val="0073309F"/>
    <w:rsid w:val="00733744"/>
    <w:rsid w:val="007340E8"/>
    <w:rsid w:val="007343DB"/>
    <w:rsid w:val="00734D8F"/>
    <w:rsid w:val="007358F8"/>
    <w:rsid w:val="007367CB"/>
    <w:rsid w:val="00737D81"/>
    <w:rsid w:val="007415B9"/>
    <w:rsid w:val="00745CF9"/>
    <w:rsid w:val="0075091B"/>
    <w:rsid w:val="00750B84"/>
    <w:rsid w:val="007516DE"/>
    <w:rsid w:val="00752C38"/>
    <w:rsid w:val="00754114"/>
    <w:rsid w:val="0075488C"/>
    <w:rsid w:val="00755130"/>
    <w:rsid w:val="00755E31"/>
    <w:rsid w:val="007614A2"/>
    <w:rsid w:val="00761943"/>
    <w:rsid w:val="0076238F"/>
    <w:rsid w:val="0076431C"/>
    <w:rsid w:val="00764896"/>
    <w:rsid w:val="007674A3"/>
    <w:rsid w:val="00770C86"/>
    <w:rsid w:val="00771E59"/>
    <w:rsid w:val="00772EDE"/>
    <w:rsid w:val="00773B7F"/>
    <w:rsid w:val="007745D0"/>
    <w:rsid w:val="00775602"/>
    <w:rsid w:val="0077728B"/>
    <w:rsid w:val="007772CA"/>
    <w:rsid w:val="00780789"/>
    <w:rsid w:val="00781549"/>
    <w:rsid w:val="00782800"/>
    <w:rsid w:val="00783BAC"/>
    <w:rsid w:val="00784EED"/>
    <w:rsid w:val="007857F6"/>
    <w:rsid w:val="0078696A"/>
    <w:rsid w:val="00790820"/>
    <w:rsid w:val="00791A51"/>
    <w:rsid w:val="00792848"/>
    <w:rsid w:val="00792F61"/>
    <w:rsid w:val="0079355A"/>
    <w:rsid w:val="00794164"/>
    <w:rsid w:val="007943B6"/>
    <w:rsid w:val="007964D9"/>
    <w:rsid w:val="007976E1"/>
    <w:rsid w:val="00797F0C"/>
    <w:rsid w:val="007A04AB"/>
    <w:rsid w:val="007A1761"/>
    <w:rsid w:val="007A3385"/>
    <w:rsid w:val="007A3DF0"/>
    <w:rsid w:val="007A47D6"/>
    <w:rsid w:val="007A4AE5"/>
    <w:rsid w:val="007A5D8E"/>
    <w:rsid w:val="007A5E31"/>
    <w:rsid w:val="007B0218"/>
    <w:rsid w:val="007B042A"/>
    <w:rsid w:val="007B04FB"/>
    <w:rsid w:val="007B0FEB"/>
    <w:rsid w:val="007B62F4"/>
    <w:rsid w:val="007B6CA4"/>
    <w:rsid w:val="007B6EB5"/>
    <w:rsid w:val="007C0E58"/>
    <w:rsid w:val="007C23A9"/>
    <w:rsid w:val="007C4132"/>
    <w:rsid w:val="007C4D2C"/>
    <w:rsid w:val="007C7529"/>
    <w:rsid w:val="007D5EA0"/>
    <w:rsid w:val="007D7599"/>
    <w:rsid w:val="007D7B24"/>
    <w:rsid w:val="007E1B83"/>
    <w:rsid w:val="007E2E66"/>
    <w:rsid w:val="007E4B2D"/>
    <w:rsid w:val="007E558F"/>
    <w:rsid w:val="007E568F"/>
    <w:rsid w:val="007E5B4C"/>
    <w:rsid w:val="007E736D"/>
    <w:rsid w:val="007F1377"/>
    <w:rsid w:val="007F216F"/>
    <w:rsid w:val="007F5683"/>
    <w:rsid w:val="007F5A7B"/>
    <w:rsid w:val="007F6D3A"/>
    <w:rsid w:val="007F7C51"/>
    <w:rsid w:val="00800E52"/>
    <w:rsid w:val="008019DF"/>
    <w:rsid w:val="00803156"/>
    <w:rsid w:val="00803D64"/>
    <w:rsid w:val="008042C1"/>
    <w:rsid w:val="00804EFA"/>
    <w:rsid w:val="00805508"/>
    <w:rsid w:val="008058C4"/>
    <w:rsid w:val="008065BE"/>
    <w:rsid w:val="00806610"/>
    <w:rsid w:val="00806D0A"/>
    <w:rsid w:val="00811F72"/>
    <w:rsid w:val="00812CD3"/>
    <w:rsid w:val="00812F70"/>
    <w:rsid w:val="0081704C"/>
    <w:rsid w:val="008258C5"/>
    <w:rsid w:val="00825FB8"/>
    <w:rsid w:val="00826789"/>
    <w:rsid w:val="008325FA"/>
    <w:rsid w:val="00834146"/>
    <w:rsid w:val="00834635"/>
    <w:rsid w:val="00835FB4"/>
    <w:rsid w:val="00837F02"/>
    <w:rsid w:val="00841647"/>
    <w:rsid w:val="00841F69"/>
    <w:rsid w:val="0084314E"/>
    <w:rsid w:val="00843FBC"/>
    <w:rsid w:val="00844F6D"/>
    <w:rsid w:val="008460D2"/>
    <w:rsid w:val="008462DF"/>
    <w:rsid w:val="00847451"/>
    <w:rsid w:val="00847E4C"/>
    <w:rsid w:val="00850728"/>
    <w:rsid w:val="00861A11"/>
    <w:rsid w:val="00863663"/>
    <w:rsid w:val="00863721"/>
    <w:rsid w:val="0086509B"/>
    <w:rsid w:val="008656F3"/>
    <w:rsid w:val="00865DD0"/>
    <w:rsid w:val="00866EEC"/>
    <w:rsid w:val="0087228E"/>
    <w:rsid w:val="0087235E"/>
    <w:rsid w:val="00872EA2"/>
    <w:rsid w:val="00872EAE"/>
    <w:rsid w:val="008739DC"/>
    <w:rsid w:val="00873F21"/>
    <w:rsid w:val="008760AC"/>
    <w:rsid w:val="0087723D"/>
    <w:rsid w:val="00877989"/>
    <w:rsid w:val="00880633"/>
    <w:rsid w:val="00881731"/>
    <w:rsid w:val="00881FD9"/>
    <w:rsid w:val="008824F8"/>
    <w:rsid w:val="0088438E"/>
    <w:rsid w:val="00884A9E"/>
    <w:rsid w:val="00885D6E"/>
    <w:rsid w:val="00886F4B"/>
    <w:rsid w:val="008876CC"/>
    <w:rsid w:val="0089130B"/>
    <w:rsid w:val="0089137C"/>
    <w:rsid w:val="0089281A"/>
    <w:rsid w:val="00892D74"/>
    <w:rsid w:val="0089552D"/>
    <w:rsid w:val="0089693A"/>
    <w:rsid w:val="00896FD3"/>
    <w:rsid w:val="008972B7"/>
    <w:rsid w:val="008A22A7"/>
    <w:rsid w:val="008A2521"/>
    <w:rsid w:val="008A2B74"/>
    <w:rsid w:val="008A3D17"/>
    <w:rsid w:val="008A3F3A"/>
    <w:rsid w:val="008A6611"/>
    <w:rsid w:val="008A7B9F"/>
    <w:rsid w:val="008B049A"/>
    <w:rsid w:val="008B4F87"/>
    <w:rsid w:val="008B61BA"/>
    <w:rsid w:val="008B6864"/>
    <w:rsid w:val="008B7249"/>
    <w:rsid w:val="008B7375"/>
    <w:rsid w:val="008B7AD8"/>
    <w:rsid w:val="008C02E6"/>
    <w:rsid w:val="008C0CC5"/>
    <w:rsid w:val="008C2301"/>
    <w:rsid w:val="008C6466"/>
    <w:rsid w:val="008C736E"/>
    <w:rsid w:val="008D1418"/>
    <w:rsid w:val="008D1BD9"/>
    <w:rsid w:val="008D1E29"/>
    <w:rsid w:val="008D42E9"/>
    <w:rsid w:val="008D5359"/>
    <w:rsid w:val="008D5AC7"/>
    <w:rsid w:val="008E0E89"/>
    <w:rsid w:val="008E307C"/>
    <w:rsid w:val="008E433E"/>
    <w:rsid w:val="008E684B"/>
    <w:rsid w:val="008F6FC8"/>
    <w:rsid w:val="008F77F0"/>
    <w:rsid w:val="00900E72"/>
    <w:rsid w:val="00901700"/>
    <w:rsid w:val="009018F8"/>
    <w:rsid w:val="0090239F"/>
    <w:rsid w:val="009067E4"/>
    <w:rsid w:val="00906EFB"/>
    <w:rsid w:val="00913772"/>
    <w:rsid w:val="009159C1"/>
    <w:rsid w:val="00917D68"/>
    <w:rsid w:val="00920262"/>
    <w:rsid w:val="009210FF"/>
    <w:rsid w:val="009222B2"/>
    <w:rsid w:val="009235E7"/>
    <w:rsid w:val="009255C2"/>
    <w:rsid w:val="00931D18"/>
    <w:rsid w:val="00932090"/>
    <w:rsid w:val="0093345A"/>
    <w:rsid w:val="0093371F"/>
    <w:rsid w:val="00933ED5"/>
    <w:rsid w:val="009406C2"/>
    <w:rsid w:val="00941347"/>
    <w:rsid w:val="00942B61"/>
    <w:rsid w:val="00943B61"/>
    <w:rsid w:val="009456C4"/>
    <w:rsid w:val="00945E01"/>
    <w:rsid w:val="00947B24"/>
    <w:rsid w:val="00950374"/>
    <w:rsid w:val="00952B12"/>
    <w:rsid w:val="009536AE"/>
    <w:rsid w:val="00954EAA"/>
    <w:rsid w:val="00954F4E"/>
    <w:rsid w:val="00955DFA"/>
    <w:rsid w:val="00955F71"/>
    <w:rsid w:val="00960B51"/>
    <w:rsid w:val="00961278"/>
    <w:rsid w:val="00961CDA"/>
    <w:rsid w:val="00962E2D"/>
    <w:rsid w:val="00963508"/>
    <w:rsid w:val="009647E8"/>
    <w:rsid w:val="0096636D"/>
    <w:rsid w:val="00966AF6"/>
    <w:rsid w:val="0096715E"/>
    <w:rsid w:val="00972966"/>
    <w:rsid w:val="00972C15"/>
    <w:rsid w:val="00976AD4"/>
    <w:rsid w:val="00976B9F"/>
    <w:rsid w:val="00980F2E"/>
    <w:rsid w:val="009834D6"/>
    <w:rsid w:val="009836BA"/>
    <w:rsid w:val="00985A85"/>
    <w:rsid w:val="00987001"/>
    <w:rsid w:val="00987DA4"/>
    <w:rsid w:val="009918B8"/>
    <w:rsid w:val="009922D0"/>
    <w:rsid w:val="0099271E"/>
    <w:rsid w:val="00993580"/>
    <w:rsid w:val="00993AA2"/>
    <w:rsid w:val="00993DB3"/>
    <w:rsid w:val="00993F71"/>
    <w:rsid w:val="009949DC"/>
    <w:rsid w:val="009975BC"/>
    <w:rsid w:val="009A2B47"/>
    <w:rsid w:val="009A3085"/>
    <w:rsid w:val="009A3984"/>
    <w:rsid w:val="009A438C"/>
    <w:rsid w:val="009A7537"/>
    <w:rsid w:val="009B17F5"/>
    <w:rsid w:val="009B1DBC"/>
    <w:rsid w:val="009B242B"/>
    <w:rsid w:val="009B2744"/>
    <w:rsid w:val="009B36E0"/>
    <w:rsid w:val="009B41AF"/>
    <w:rsid w:val="009B5975"/>
    <w:rsid w:val="009B7386"/>
    <w:rsid w:val="009B7618"/>
    <w:rsid w:val="009C431A"/>
    <w:rsid w:val="009C4C36"/>
    <w:rsid w:val="009C54F8"/>
    <w:rsid w:val="009C69E3"/>
    <w:rsid w:val="009D1149"/>
    <w:rsid w:val="009D3B7B"/>
    <w:rsid w:val="009D3CCB"/>
    <w:rsid w:val="009D3FA5"/>
    <w:rsid w:val="009D48C1"/>
    <w:rsid w:val="009D7711"/>
    <w:rsid w:val="009E2CF4"/>
    <w:rsid w:val="009E38E1"/>
    <w:rsid w:val="009E3CBE"/>
    <w:rsid w:val="009E4989"/>
    <w:rsid w:val="009E4A1E"/>
    <w:rsid w:val="009E4BEA"/>
    <w:rsid w:val="009E67AD"/>
    <w:rsid w:val="009E7DC7"/>
    <w:rsid w:val="009F0F70"/>
    <w:rsid w:val="009F429B"/>
    <w:rsid w:val="009F4443"/>
    <w:rsid w:val="009F59E1"/>
    <w:rsid w:val="009F5D2E"/>
    <w:rsid w:val="00A04283"/>
    <w:rsid w:val="00A04C54"/>
    <w:rsid w:val="00A05DAB"/>
    <w:rsid w:val="00A078FB"/>
    <w:rsid w:val="00A07A3A"/>
    <w:rsid w:val="00A12757"/>
    <w:rsid w:val="00A138AD"/>
    <w:rsid w:val="00A1460A"/>
    <w:rsid w:val="00A14A83"/>
    <w:rsid w:val="00A1569F"/>
    <w:rsid w:val="00A15711"/>
    <w:rsid w:val="00A1615B"/>
    <w:rsid w:val="00A20D32"/>
    <w:rsid w:val="00A221CF"/>
    <w:rsid w:val="00A22688"/>
    <w:rsid w:val="00A237FF"/>
    <w:rsid w:val="00A24359"/>
    <w:rsid w:val="00A244BF"/>
    <w:rsid w:val="00A2485A"/>
    <w:rsid w:val="00A25DCB"/>
    <w:rsid w:val="00A260C9"/>
    <w:rsid w:val="00A26116"/>
    <w:rsid w:val="00A323F3"/>
    <w:rsid w:val="00A33061"/>
    <w:rsid w:val="00A3345B"/>
    <w:rsid w:val="00A33618"/>
    <w:rsid w:val="00A33CF0"/>
    <w:rsid w:val="00A341CD"/>
    <w:rsid w:val="00A3554C"/>
    <w:rsid w:val="00A35586"/>
    <w:rsid w:val="00A355D9"/>
    <w:rsid w:val="00A3771F"/>
    <w:rsid w:val="00A37A06"/>
    <w:rsid w:val="00A41037"/>
    <w:rsid w:val="00A41872"/>
    <w:rsid w:val="00A41CFA"/>
    <w:rsid w:val="00A42A90"/>
    <w:rsid w:val="00A43235"/>
    <w:rsid w:val="00A43EBD"/>
    <w:rsid w:val="00A43F43"/>
    <w:rsid w:val="00A43F8E"/>
    <w:rsid w:val="00A51D45"/>
    <w:rsid w:val="00A53F83"/>
    <w:rsid w:val="00A542F4"/>
    <w:rsid w:val="00A60E7F"/>
    <w:rsid w:val="00A619BE"/>
    <w:rsid w:val="00A62DF7"/>
    <w:rsid w:val="00A640B4"/>
    <w:rsid w:val="00A64188"/>
    <w:rsid w:val="00A65011"/>
    <w:rsid w:val="00A65F0A"/>
    <w:rsid w:val="00A66E04"/>
    <w:rsid w:val="00A701F2"/>
    <w:rsid w:val="00A71C59"/>
    <w:rsid w:val="00A72FE6"/>
    <w:rsid w:val="00A73CF8"/>
    <w:rsid w:val="00A73E2C"/>
    <w:rsid w:val="00A761F7"/>
    <w:rsid w:val="00A80A05"/>
    <w:rsid w:val="00A81F1D"/>
    <w:rsid w:val="00A82404"/>
    <w:rsid w:val="00A84233"/>
    <w:rsid w:val="00A845EC"/>
    <w:rsid w:val="00A84F29"/>
    <w:rsid w:val="00A87B88"/>
    <w:rsid w:val="00A91920"/>
    <w:rsid w:val="00A92531"/>
    <w:rsid w:val="00A9270E"/>
    <w:rsid w:val="00A92A90"/>
    <w:rsid w:val="00A97423"/>
    <w:rsid w:val="00A975F6"/>
    <w:rsid w:val="00AA1277"/>
    <w:rsid w:val="00AA19DE"/>
    <w:rsid w:val="00AA345B"/>
    <w:rsid w:val="00AA4993"/>
    <w:rsid w:val="00AA517A"/>
    <w:rsid w:val="00AA5EA1"/>
    <w:rsid w:val="00AA5F95"/>
    <w:rsid w:val="00AB0657"/>
    <w:rsid w:val="00AB1762"/>
    <w:rsid w:val="00AB1AD6"/>
    <w:rsid w:val="00AB31EC"/>
    <w:rsid w:val="00AB3945"/>
    <w:rsid w:val="00AB3A20"/>
    <w:rsid w:val="00AB4567"/>
    <w:rsid w:val="00AB548F"/>
    <w:rsid w:val="00AB7EB0"/>
    <w:rsid w:val="00AC076D"/>
    <w:rsid w:val="00AC1EE3"/>
    <w:rsid w:val="00AC26ED"/>
    <w:rsid w:val="00AC4205"/>
    <w:rsid w:val="00AC4323"/>
    <w:rsid w:val="00AC69B3"/>
    <w:rsid w:val="00AC72FB"/>
    <w:rsid w:val="00AC74C7"/>
    <w:rsid w:val="00AD1168"/>
    <w:rsid w:val="00AD13FF"/>
    <w:rsid w:val="00AD2C2C"/>
    <w:rsid w:val="00AD5484"/>
    <w:rsid w:val="00AD695B"/>
    <w:rsid w:val="00AD7D41"/>
    <w:rsid w:val="00AD7F16"/>
    <w:rsid w:val="00AE10BC"/>
    <w:rsid w:val="00AE2108"/>
    <w:rsid w:val="00AF01D4"/>
    <w:rsid w:val="00AF0670"/>
    <w:rsid w:val="00AF2DFA"/>
    <w:rsid w:val="00AF49E3"/>
    <w:rsid w:val="00AF667A"/>
    <w:rsid w:val="00AF6A02"/>
    <w:rsid w:val="00B01FBA"/>
    <w:rsid w:val="00B0210B"/>
    <w:rsid w:val="00B021D5"/>
    <w:rsid w:val="00B02483"/>
    <w:rsid w:val="00B02492"/>
    <w:rsid w:val="00B0270A"/>
    <w:rsid w:val="00B03BA3"/>
    <w:rsid w:val="00B0695E"/>
    <w:rsid w:val="00B07C71"/>
    <w:rsid w:val="00B07CBA"/>
    <w:rsid w:val="00B116D8"/>
    <w:rsid w:val="00B12341"/>
    <w:rsid w:val="00B12AE4"/>
    <w:rsid w:val="00B148E5"/>
    <w:rsid w:val="00B179C1"/>
    <w:rsid w:val="00B200A3"/>
    <w:rsid w:val="00B202E0"/>
    <w:rsid w:val="00B21FBC"/>
    <w:rsid w:val="00B2245E"/>
    <w:rsid w:val="00B231BE"/>
    <w:rsid w:val="00B2404F"/>
    <w:rsid w:val="00B26685"/>
    <w:rsid w:val="00B26868"/>
    <w:rsid w:val="00B278E6"/>
    <w:rsid w:val="00B301E6"/>
    <w:rsid w:val="00B34059"/>
    <w:rsid w:val="00B34AC1"/>
    <w:rsid w:val="00B35525"/>
    <w:rsid w:val="00B35A0D"/>
    <w:rsid w:val="00B36E8C"/>
    <w:rsid w:val="00B37BA0"/>
    <w:rsid w:val="00B40786"/>
    <w:rsid w:val="00B438B4"/>
    <w:rsid w:val="00B45AC4"/>
    <w:rsid w:val="00B46781"/>
    <w:rsid w:val="00B47F1C"/>
    <w:rsid w:val="00B53ED8"/>
    <w:rsid w:val="00B53FFB"/>
    <w:rsid w:val="00B54F03"/>
    <w:rsid w:val="00B55CA1"/>
    <w:rsid w:val="00B56400"/>
    <w:rsid w:val="00B606CE"/>
    <w:rsid w:val="00B60D65"/>
    <w:rsid w:val="00B65FDC"/>
    <w:rsid w:val="00B664E7"/>
    <w:rsid w:val="00B6678B"/>
    <w:rsid w:val="00B67B2F"/>
    <w:rsid w:val="00B67BE9"/>
    <w:rsid w:val="00B73C69"/>
    <w:rsid w:val="00B753B6"/>
    <w:rsid w:val="00B762FD"/>
    <w:rsid w:val="00B80881"/>
    <w:rsid w:val="00B80C4B"/>
    <w:rsid w:val="00B817F0"/>
    <w:rsid w:val="00B819E8"/>
    <w:rsid w:val="00B81F95"/>
    <w:rsid w:val="00B83928"/>
    <w:rsid w:val="00B83E7F"/>
    <w:rsid w:val="00B85C18"/>
    <w:rsid w:val="00B8663C"/>
    <w:rsid w:val="00B86752"/>
    <w:rsid w:val="00B874FB"/>
    <w:rsid w:val="00B879CC"/>
    <w:rsid w:val="00B87DE4"/>
    <w:rsid w:val="00B92DC3"/>
    <w:rsid w:val="00B94C02"/>
    <w:rsid w:val="00BA1628"/>
    <w:rsid w:val="00BA39FA"/>
    <w:rsid w:val="00BA4944"/>
    <w:rsid w:val="00BA681E"/>
    <w:rsid w:val="00BA7A37"/>
    <w:rsid w:val="00BB0145"/>
    <w:rsid w:val="00BB5CE4"/>
    <w:rsid w:val="00BC05A8"/>
    <w:rsid w:val="00BC1391"/>
    <w:rsid w:val="00BC301D"/>
    <w:rsid w:val="00BC58A0"/>
    <w:rsid w:val="00BC7012"/>
    <w:rsid w:val="00BC7930"/>
    <w:rsid w:val="00BD2A01"/>
    <w:rsid w:val="00BD3C74"/>
    <w:rsid w:val="00BD3E26"/>
    <w:rsid w:val="00BD4C2D"/>
    <w:rsid w:val="00BD6015"/>
    <w:rsid w:val="00BD6D1B"/>
    <w:rsid w:val="00BD73BF"/>
    <w:rsid w:val="00BE0975"/>
    <w:rsid w:val="00BE12C6"/>
    <w:rsid w:val="00BE1B57"/>
    <w:rsid w:val="00BE36A3"/>
    <w:rsid w:val="00BE3982"/>
    <w:rsid w:val="00BE455C"/>
    <w:rsid w:val="00BE46FC"/>
    <w:rsid w:val="00BE496C"/>
    <w:rsid w:val="00BE76BB"/>
    <w:rsid w:val="00BF0D24"/>
    <w:rsid w:val="00BF0D3E"/>
    <w:rsid w:val="00BF0FA8"/>
    <w:rsid w:val="00BF1066"/>
    <w:rsid w:val="00C00CED"/>
    <w:rsid w:val="00C00E4F"/>
    <w:rsid w:val="00C026A3"/>
    <w:rsid w:val="00C03840"/>
    <w:rsid w:val="00C053CD"/>
    <w:rsid w:val="00C0551E"/>
    <w:rsid w:val="00C0574F"/>
    <w:rsid w:val="00C075E5"/>
    <w:rsid w:val="00C11381"/>
    <w:rsid w:val="00C12A78"/>
    <w:rsid w:val="00C13DA3"/>
    <w:rsid w:val="00C14A29"/>
    <w:rsid w:val="00C14E95"/>
    <w:rsid w:val="00C16FCF"/>
    <w:rsid w:val="00C17557"/>
    <w:rsid w:val="00C219FC"/>
    <w:rsid w:val="00C22E9B"/>
    <w:rsid w:val="00C23FEC"/>
    <w:rsid w:val="00C25733"/>
    <w:rsid w:val="00C30645"/>
    <w:rsid w:val="00C3186E"/>
    <w:rsid w:val="00C31EE1"/>
    <w:rsid w:val="00C31F5A"/>
    <w:rsid w:val="00C31FE7"/>
    <w:rsid w:val="00C345E0"/>
    <w:rsid w:val="00C43369"/>
    <w:rsid w:val="00C43D7C"/>
    <w:rsid w:val="00C43EC1"/>
    <w:rsid w:val="00C50F5B"/>
    <w:rsid w:val="00C5149D"/>
    <w:rsid w:val="00C51910"/>
    <w:rsid w:val="00C51D8D"/>
    <w:rsid w:val="00C53BEA"/>
    <w:rsid w:val="00C56AAF"/>
    <w:rsid w:val="00C57FBF"/>
    <w:rsid w:val="00C60401"/>
    <w:rsid w:val="00C60CF3"/>
    <w:rsid w:val="00C6210A"/>
    <w:rsid w:val="00C625C1"/>
    <w:rsid w:val="00C63C3D"/>
    <w:rsid w:val="00C65482"/>
    <w:rsid w:val="00C6601C"/>
    <w:rsid w:val="00C66678"/>
    <w:rsid w:val="00C670D7"/>
    <w:rsid w:val="00C6785C"/>
    <w:rsid w:val="00C67999"/>
    <w:rsid w:val="00C70BE2"/>
    <w:rsid w:val="00C736C4"/>
    <w:rsid w:val="00C7405A"/>
    <w:rsid w:val="00C75574"/>
    <w:rsid w:val="00C7628B"/>
    <w:rsid w:val="00C77314"/>
    <w:rsid w:val="00C77815"/>
    <w:rsid w:val="00C77F62"/>
    <w:rsid w:val="00C8105C"/>
    <w:rsid w:val="00C8211E"/>
    <w:rsid w:val="00C823A8"/>
    <w:rsid w:val="00C82DA6"/>
    <w:rsid w:val="00C8498F"/>
    <w:rsid w:val="00C85389"/>
    <w:rsid w:val="00C85449"/>
    <w:rsid w:val="00C85AF9"/>
    <w:rsid w:val="00C85B1B"/>
    <w:rsid w:val="00C85EE6"/>
    <w:rsid w:val="00C85FA6"/>
    <w:rsid w:val="00C861D2"/>
    <w:rsid w:val="00C87EDE"/>
    <w:rsid w:val="00C910EE"/>
    <w:rsid w:val="00C911CC"/>
    <w:rsid w:val="00C92E41"/>
    <w:rsid w:val="00C9352B"/>
    <w:rsid w:val="00C94EED"/>
    <w:rsid w:val="00C95015"/>
    <w:rsid w:val="00C96516"/>
    <w:rsid w:val="00C9772A"/>
    <w:rsid w:val="00C97B61"/>
    <w:rsid w:val="00CA1963"/>
    <w:rsid w:val="00CA1A8F"/>
    <w:rsid w:val="00CA4C60"/>
    <w:rsid w:val="00CA7C83"/>
    <w:rsid w:val="00CA7E21"/>
    <w:rsid w:val="00CB34A8"/>
    <w:rsid w:val="00CB6BBE"/>
    <w:rsid w:val="00CC0D62"/>
    <w:rsid w:val="00CC0F25"/>
    <w:rsid w:val="00CC2169"/>
    <w:rsid w:val="00CC2A90"/>
    <w:rsid w:val="00CC2AF9"/>
    <w:rsid w:val="00CC2C17"/>
    <w:rsid w:val="00CC5B2E"/>
    <w:rsid w:val="00CC7531"/>
    <w:rsid w:val="00CD0188"/>
    <w:rsid w:val="00CD1107"/>
    <w:rsid w:val="00CD4E00"/>
    <w:rsid w:val="00CD4FFB"/>
    <w:rsid w:val="00CD5434"/>
    <w:rsid w:val="00CD58D1"/>
    <w:rsid w:val="00CD627E"/>
    <w:rsid w:val="00CD7248"/>
    <w:rsid w:val="00CD72D2"/>
    <w:rsid w:val="00CD74F7"/>
    <w:rsid w:val="00CE3B22"/>
    <w:rsid w:val="00CE3E90"/>
    <w:rsid w:val="00CE4304"/>
    <w:rsid w:val="00CE59F2"/>
    <w:rsid w:val="00CE5AB2"/>
    <w:rsid w:val="00CE743A"/>
    <w:rsid w:val="00CE7BDB"/>
    <w:rsid w:val="00CE7E60"/>
    <w:rsid w:val="00CF0805"/>
    <w:rsid w:val="00CF13EC"/>
    <w:rsid w:val="00CF1FAE"/>
    <w:rsid w:val="00CF2DB0"/>
    <w:rsid w:val="00CF37AD"/>
    <w:rsid w:val="00CF38D5"/>
    <w:rsid w:val="00CF3CC6"/>
    <w:rsid w:val="00CF4409"/>
    <w:rsid w:val="00CF6CA3"/>
    <w:rsid w:val="00CF6CEC"/>
    <w:rsid w:val="00CF6EF8"/>
    <w:rsid w:val="00CF7E3C"/>
    <w:rsid w:val="00D024BB"/>
    <w:rsid w:val="00D02C88"/>
    <w:rsid w:val="00D03641"/>
    <w:rsid w:val="00D03DD6"/>
    <w:rsid w:val="00D04107"/>
    <w:rsid w:val="00D043A1"/>
    <w:rsid w:val="00D11273"/>
    <w:rsid w:val="00D12B2D"/>
    <w:rsid w:val="00D12B58"/>
    <w:rsid w:val="00D12F6A"/>
    <w:rsid w:val="00D130AB"/>
    <w:rsid w:val="00D163CF"/>
    <w:rsid w:val="00D21FC2"/>
    <w:rsid w:val="00D231A0"/>
    <w:rsid w:val="00D23630"/>
    <w:rsid w:val="00D2551F"/>
    <w:rsid w:val="00D26183"/>
    <w:rsid w:val="00D313AA"/>
    <w:rsid w:val="00D31897"/>
    <w:rsid w:val="00D353A3"/>
    <w:rsid w:val="00D35F7C"/>
    <w:rsid w:val="00D37D24"/>
    <w:rsid w:val="00D403FE"/>
    <w:rsid w:val="00D40AC8"/>
    <w:rsid w:val="00D416DA"/>
    <w:rsid w:val="00D417BE"/>
    <w:rsid w:val="00D4197F"/>
    <w:rsid w:val="00D42DB2"/>
    <w:rsid w:val="00D43B40"/>
    <w:rsid w:val="00D43B41"/>
    <w:rsid w:val="00D4588C"/>
    <w:rsid w:val="00D459F9"/>
    <w:rsid w:val="00D50514"/>
    <w:rsid w:val="00D5379D"/>
    <w:rsid w:val="00D53ED1"/>
    <w:rsid w:val="00D54FB1"/>
    <w:rsid w:val="00D56E3B"/>
    <w:rsid w:val="00D60438"/>
    <w:rsid w:val="00D608EA"/>
    <w:rsid w:val="00D612A5"/>
    <w:rsid w:val="00D61C39"/>
    <w:rsid w:val="00D62EAE"/>
    <w:rsid w:val="00D634CD"/>
    <w:rsid w:val="00D64FD0"/>
    <w:rsid w:val="00D70066"/>
    <w:rsid w:val="00D70AD5"/>
    <w:rsid w:val="00D73841"/>
    <w:rsid w:val="00D8072E"/>
    <w:rsid w:val="00D8082F"/>
    <w:rsid w:val="00D80EAB"/>
    <w:rsid w:val="00D86C4F"/>
    <w:rsid w:val="00D87D6E"/>
    <w:rsid w:val="00D9024B"/>
    <w:rsid w:val="00D90BA8"/>
    <w:rsid w:val="00D91A9C"/>
    <w:rsid w:val="00D92189"/>
    <w:rsid w:val="00D931EB"/>
    <w:rsid w:val="00D94B01"/>
    <w:rsid w:val="00D94F1D"/>
    <w:rsid w:val="00D94F31"/>
    <w:rsid w:val="00D95F69"/>
    <w:rsid w:val="00D97477"/>
    <w:rsid w:val="00DA2954"/>
    <w:rsid w:val="00DA31DA"/>
    <w:rsid w:val="00DA4AE9"/>
    <w:rsid w:val="00DA4DFA"/>
    <w:rsid w:val="00DA5B07"/>
    <w:rsid w:val="00DA6936"/>
    <w:rsid w:val="00DB192F"/>
    <w:rsid w:val="00DB51DA"/>
    <w:rsid w:val="00DB5AE2"/>
    <w:rsid w:val="00DB5EFE"/>
    <w:rsid w:val="00DB6949"/>
    <w:rsid w:val="00DB70C5"/>
    <w:rsid w:val="00DC2A48"/>
    <w:rsid w:val="00DC5162"/>
    <w:rsid w:val="00DC5A2D"/>
    <w:rsid w:val="00DC6D8D"/>
    <w:rsid w:val="00DD1AE9"/>
    <w:rsid w:val="00DD1CEB"/>
    <w:rsid w:val="00DD3C3A"/>
    <w:rsid w:val="00DD45C6"/>
    <w:rsid w:val="00DD508D"/>
    <w:rsid w:val="00DD615A"/>
    <w:rsid w:val="00DE042A"/>
    <w:rsid w:val="00DE1FF2"/>
    <w:rsid w:val="00DE5287"/>
    <w:rsid w:val="00DE56EE"/>
    <w:rsid w:val="00DE5951"/>
    <w:rsid w:val="00DF3717"/>
    <w:rsid w:val="00DF4B92"/>
    <w:rsid w:val="00DF5AF4"/>
    <w:rsid w:val="00DF798A"/>
    <w:rsid w:val="00E04994"/>
    <w:rsid w:val="00E04E5B"/>
    <w:rsid w:val="00E07728"/>
    <w:rsid w:val="00E10045"/>
    <w:rsid w:val="00E1004A"/>
    <w:rsid w:val="00E1022E"/>
    <w:rsid w:val="00E12DE0"/>
    <w:rsid w:val="00E13659"/>
    <w:rsid w:val="00E142BD"/>
    <w:rsid w:val="00E1497D"/>
    <w:rsid w:val="00E14EEA"/>
    <w:rsid w:val="00E14F68"/>
    <w:rsid w:val="00E1533D"/>
    <w:rsid w:val="00E15C69"/>
    <w:rsid w:val="00E169E4"/>
    <w:rsid w:val="00E17C21"/>
    <w:rsid w:val="00E2090C"/>
    <w:rsid w:val="00E221F4"/>
    <w:rsid w:val="00E24D13"/>
    <w:rsid w:val="00E25C44"/>
    <w:rsid w:val="00E25FF6"/>
    <w:rsid w:val="00E26BA4"/>
    <w:rsid w:val="00E26BC7"/>
    <w:rsid w:val="00E26D20"/>
    <w:rsid w:val="00E307E9"/>
    <w:rsid w:val="00E3083D"/>
    <w:rsid w:val="00E36355"/>
    <w:rsid w:val="00E40751"/>
    <w:rsid w:val="00E408B5"/>
    <w:rsid w:val="00E41413"/>
    <w:rsid w:val="00E4172E"/>
    <w:rsid w:val="00E41F21"/>
    <w:rsid w:val="00E43D91"/>
    <w:rsid w:val="00E445E8"/>
    <w:rsid w:val="00E4485E"/>
    <w:rsid w:val="00E45207"/>
    <w:rsid w:val="00E47D7D"/>
    <w:rsid w:val="00E51F7E"/>
    <w:rsid w:val="00E52AF1"/>
    <w:rsid w:val="00E52D60"/>
    <w:rsid w:val="00E533F2"/>
    <w:rsid w:val="00E553BD"/>
    <w:rsid w:val="00E55589"/>
    <w:rsid w:val="00E567F4"/>
    <w:rsid w:val="00E607D8"/>
    <w:rsid w:val="00E6105D"/>
    <w:rsid w:val="00E618A3"/>
    <w:rsid w:val="00E62ECD"/>
    <w:rsid w:val="00E655B6"/>
    <w:rsid w:val="00E677C5"/>
    <w:rsid w:val="00E71AD2"/>
    <w:rsid w:val="00E73486"/>
    <w:rsid w:val="00E7559C"/>
    <w:rsid w:val="00E811A3"/>
    <w:rsid w:val="00E8278D"/>
    <w:rsid w:val="00E82EA6"/>
    <w:rsid w:val="00E844BC"/>
    <w:rsid w:val="00E84CDD"/>
    <w:rsid w:val="00E86723"/>
    <w:rsid w:val="00E878E6"/>
    <w:rsid w:val="00E90D46"/>
    <w:rsid w:val="00E91240"/>
    <w:rsid w:val="00E93F63"/>
    <w:rsid w:val="00E95674"/>
    <w:rsid w:val="00E95B17"/>
    <w:rsid w:val="00E97450"/>
    <w:rsid w:val="00E975CF"/>
    <w:rsid w:val="00E97F3E"/>
    <w:rsid w:val="00EA006F"/>
    <w:rsid w:val="00EA0AA8"/>
    <w:rsid w:val="00EA0AB0"/>
    <w:rsid w:val="00EA0E2A"/>
    <w:rsid w:val="00EA1153"/>
    <w:rsid w:val="00EA1393"/>
    <w:rsid w:val="00EA286C"/>
    <w:rsid w:val="00EA2BB7"/>
    <w:rsid w:val="00EA3B09"/>
    <w:rsid w:val="00EA4556"/>
    <w:rsid w:val="00EB1272"/>
    <w:rsid w:val="00EB144D"/>
    <w:rsid w:val="00EB1E3B"/>
    <w:rsid w:val="00EB2379"/>
    <w:rsid w:val="00EB3444"/>
    <w:rsid w:val="00EB3F10"/>
    <w:rsid w:val="00EB4D0A"/>
    <w:rsid w:val="00EB53BE"/>
    <w:rsid w:val="00EB70AA"/>
    <w:rsid w:val="00EC33A8"/>
    <w:rsid w:val="00EC3B50"/>
    <w:rsid w:val="00EC3D20"/>
    <w:rsid w:val="00EC4290"/>
    <w:rsid w:val="00EC53CD"/>
    <w:rsid w:val="00EC563A"/>
    <w:rsid w:val="00EC61EB"/>
    <w:rsid w:val="00ED0378"/>
    <w:rsid w:val="00ED387E"/>
    <w:rsid w:val="00ED7CE0"/>
    <w:rsid w:val="00EE0568"/>
    <w:rsid w:val="00EE5F0F"/>
    <w:rsid w:val="00EF0BB7"/>
    <w:rsid w:val="00EF278D"/>
    <w:rsid w:val="00EF2AED"/>
    <w:rsid w:val="00EF334E"/>
    <w:rsid w:val="00EF6257"/>
    <w:rsid w:val="00F00D30"/>
    <w:rsid w:val="00F010F4"/>
    <w:rsid w:val="00F01941"/>
    <w:rsid w:val="00F01B57"/>
    <w:rsid w:val="00F01E91"/>
    <w:rsid w:val="00F02261"/>
    <w:rsid w:val="00F02F6C"/>
    <w:rsid w:val="00F02F95"/>
    <w:rsid w:val="00F0486D"/>
    <w:rsid w:val="00F05070"/>
    <w:rsid w:val="00F05438"/>
    <w:rsid w:val="00F07A32"/>
    <w:rsid w:val="00F10B89"/>
    <w:rsid w:val="00F10C0F"/>
    <w:rsid w:val="00F12C89"/>
    <w:rsid w:val="00F15A27"/>
    <w:rsid w:val="00F20688"/>
    <w:rsid w:val="00F22C5F"/>
    <w:rsid w:val="00F241EE"/>
    <w:rsid w:val="00F25F08"/>
    <w:rsid w:val="00F264E1"/>
    <w:rsid w:val="00F27D91"/>
    <w:rsid w:val="00F31018"/>
    <w:rsid w:val="00F31433"/>
    <w:rsid w:val="00F36CEA"/>
    <w:rsid w:val="00F370A0"/>
    <w:rsid w:val="00F45DA1"/>
    <w:rsid w:val="00F46E3F"/>
    <w:rsid w:val="00F5123D"/>
    <w:rsid w:val="00F555F0"/>
    <w:rsid w:val="00F566D8"/>
    <w:rsid w:val="00F572F9"/>
    <w:rsid w:val="00F61CE3"/>
    <w:rsid w:val="00F62F4C"/>
    <w:rsid w:val="00F6396E"/>
    <w:rsid w:val="00F66600"/>
    <w:rsid w:val="00F6781D"/>
    <w:rsid w:val="00F67F74"/>
    <w:rsid w:val="00F70448"/>
    <w:rsid w:val="00F7536D"/>
    <w:rsid w:val="00F76112"/>
    <w:rsid w:val="00F77238"/>
    <w:rsid w:val="00F776CE"/>
    <w:rsid w:val="00F77E53"/>
    <w:rsid w:val="00F804C5"/>
    <w:rsid w:val="00F80FBF"/>
    <w:rsid w:val="00F822D6"/>
    <w:rsid w:val="00F83AED"/>
    <w:rsid w:val="00F85F0A"/>
    <w:rsid w:val="00F91994"/>
    <w:rsid w:val="00F92904"/>
    <w:rsid w:val="00F93C4C"/>
    <w:rsid w:val="00F93F0F"/>
    <w:rsid w:val="00F969D0"/>
    <w:rsid w:val="00FA1A08"/>
    <w:rsid w:val="00FA585B"/>
    <w:rsid w:val="00FA6352"/>
    <w:rsid w:val="00FB1E30"/>
    <w:rsid w:val="00FB1F2D"/>
    <w:rsid w:val="00FB2886"/>
    <w:rsid w:val="00FB49C3"/>
    <w:rsid w:val="00FB548B"/>
    <w:rsid w:val="00FB77DD"/>
    <w:rsid w:val="00FB7938"/>
    <w:rsid w:val="00FC233E"/>
    <w:rsid w:val="00FC38B0"/>
    <w:rsid w:val="00FC464E"/>
    <w:rsid w:val="00FC5550"/>
    <w:rsid w:val="00FC5D6A"/>
    <w:rsid w:val="00FC60CD"/>
    <w:rsid w:val="00FC6B1C"/>
    <w:rsid w:val="00FC7A04"/>
    <w:rsid w:val="00FD2FE6"/>
    <w:rsid w:val="00FD6B07"/>
    <w:rsid w:val="00FE403B"/>
    <w:rsid w:val="00FE59A2"/>
    <w:rsid w:val="00FE6770"/>
    <w:rsid w:val="00FF0291"/>
    <w:rsid w:val="00FF0BCF"/>
    <w:rsid w:val="00FF78C3"/>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9FC6"/>
  <w15:chartTrackingRefBased/>
  <w15:docId w15:val="{AE939575-6C0C-436D-A186-B8100D32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07A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oryofchange.org/images/T2.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Berry</dc:creator>
  <cp:keywords/>
  <dc:description/>
  <cp:lastModifiedBy>Annie Schulte</cp:lastModifiedBy>
  <cp:revision>2</cp:revision>
  <dcterms:created xsi:type="dcterms:W3CDTF">2016-04-28T19:07:00Z</dcterms:created>
  <dcterms:modified xsi:type="dcterms:W3CDTF">2016-04-28T19:07:00Z</dcterms:modified>
</cp:coreProperties>
</file>